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305" w:type="pct"/>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62"/>
        <w:gridCol w:w="738"/>
        <w:gridCol w:w="750"/>
        <w:gridCol w:w="875"/>
        <w:gridCol w:w="2524"/>
        <w:gridCol w:w="9484"/>
      </w:tblGrid>
      <w:tr w14:paraId="0610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09" w:type="pct"/>
            <w:vAlign w:val="center"/>
          </w:tcPr>
          <w:p w14:paraId="0A5EF3D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序号</w:t>
            </w:r>
          </w:p>
        </w:tc>
        <w:tc>
          <w:tcPr>
            <w:tcW w:w="241" w:type="pct"/>
            <w:vAlign w:val="center"/>
          </w:tcPr>
          <w:p w14:paraId="623009D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项目名称</w:t>
            </w:r>
          </w:p>
        </w:tc>
        <w:tc>
          <w:tcPr>
            <w:tcW w:w="233" w:type="pct"/>
            <w:vAlign w:val="center"/>
          </w:tcPr>
          <w:p w14:paraId="7C35AC7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建设地点</w:t>
            </w:r>
          </w:p>
        </w:tc>
        <w:tc>
          <w:tcPr>
            <w:tcW w:w="237" w:type="pct"/>
            <w:vAlign w:val="center"/>
          </w:tcPr>
          <w:p w14:paraId="342FE1E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建设单位</w:t>
            </w:r>
          </w:p>
        </w:tc>
        <w:tc>
          <w:tcPr>
            <w:tcW w:w="276" w:type="pct"/>
            <w:vAlign w:val="center"/>
          </w:tcPr>
          <w:p w14:paraId="3E48E0D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环境影响评价机构</w:t>
            </w:r>
          </w:p>
        </w:tc>
        <w:tc>
          <w:tcPr>
            <w:tcW w:w="798" w:type="pct"/>
            <w:vAlign w:val="center"/>
          </w:tcPr>
          <w:p w14:paraId="507F6D9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项目概况</w:t>
            </w:r>
          </w:p>
        </w:tc>
        <w:tc>
          <w:tcPr>
            <w:tcW w:w="3002" w:type="pct"/>
            <w:vAlign w:val="center"/>
          </w:tcPr>
          <w:p w14:paraId="546E414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主要环境影响及预防或者减轻不良环境影响的对策和措施</w:t>
            </w:r>
          </w:p>
        </w:tc>
      </w:tr>
      <w:tr w14:paraId="021F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 w:type="pct"/>
            <w:vAlign w:val="center"/>
          </w:tcPr>
          <w:p w14:paraId="3FD8E2D1">
            <w:pPr>
              <w:keepNext w:val="0"/>
              <w:keepLines w:val="0"/>
              <w:pageBreakBefore w:val="0"/>
              <w:kinsoku/>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w:t>
            </w:r>
          </w:p>
        </w:tc>
        <w:tc>
          <w:tcPr>
            <w:tcW w:w="241" w:type="pct"/>
            <w:vAlign w:val="center"/>
          </w:tcPr>
          <w:p w14:paraId="2E1E04DE">
            <w:pPr>
              <w:keepNext w:val="0"/>
              <w:keepLines w:val="0"/>
              <w:pageBreakBefore w:val="0"/>
              <w:widowControl/>
              <w:numPr>
                <w:ilvl w:val="0"/>
                <w:numId w:val="0"/>
              </w:numPr>
              <w:kinsoku/>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年产7</w:t>
            </w:r>
            <w:r>
              <w:rPr>
                <w:rFonts w:hint="eastAsia" w:ascii="Times New Roman" w:hAnsi="Times New Roman" w:eastAsia="方正仿宋_GBK" w:cs="Times New Roman"/>
                <w:kern w:val="0"/>
                <w:sz w:val="24"/>
                <w:szCs w:val="24"/>
                <w:highlight w:val="none"/>
                <w:lang w:val="en-US" w:eastAsia="zh-CN"/>
              </w:rPr>
              <w:t>万吨钢结构组件项目</w:t>
            </w:r>
          </w:p>
          <w:p w14:paraId="3EDA2EA5">
            <w:pPr>
              <w:keepNext w:val="0"/>
              <w:keepLines w:val="0"/>
              <w:pageBreakBefore w:val="0"/>
              <w:kinsoku/>
              <w:overflowPunct/>
              <w:topLinePunct w:val="0"/>
              <w:autoSpaceDE/>
              <w:autoSpaceDN/>
              <w:bidi w:val="0"/>
              <w:adjustRightInd/>
              <w:snapToGrid/>
              <w:spacing w:after="0" w:line="400" w:lineRule="exact"/>
              <w:jc w:val="left"/>
              <w:textAlignment w:val="auto"/>
              <w:rPr>
                <w:rFonts w:hint="default" w:ascii="Times New Roman" w:hAnsi="Times New Roman" w:eastAsia="方正仿宋_GBK" w:cs="Times New Roman"/>
                <w:sz w:val="24"/>
                <w:szCs w:val="24"/>
                <w:highlight w:val="none"/>
              </w:rPr>
            </w:pPr>
          </w:p>
        </w:tc>
        <w:tc>
          <w:tcPr>
            <w:tcW w:w="233" w:type="pct"/>
            <w:vAlign w:val="center"/>
          </w:tcPr>
          <w:p w14:paraId="511CB23F">
            <w:pPr>
              <w:keepNext w:val="0"/>
              <w:keepLines w:val="0"/>
              <w:pageBreakBefore w:val="0"/>
              <w:kinsoku/>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达州东部经开区麻柳智造城园区</w:t>
            </w:r>
          </w:p>
        </w:tc>
        <w:tc>
          <w:tcPr>
            <w:tcW w:w="237" w:type="pct"/>
            <w:vAlign w:val="center"/>
          </w:tcPr>
          <w:p w14:paraId="78FC1FD1">
            <w:pPr>
              <w:keepNext w:val="0"/>
              <w:keepLines w:val="0"/>
              <w:pageBreakBefore w:val="0"/>
              <w:kinsoku/>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四川祥垛钢结构有限公司</w:t>
            </w:r>
          </w:p>
        </w:tc>
        <w:tc>
          <w:tcPr>
            <w:tcW w:w="276" w:type="pct"/>
            <w:vAlign w:val="center"/>
          </w:tcPr>
          <w:p w14:paraId="7BB9C669">
            <w:pPr>
              <w:keepNext w:val="0"/>
              <w:keepLines w:val="0"/>
              <w:pageBreakBefore w:val="0"/>
              <w:kinsoku/>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rPr>
              <w:t>四川欣立融环保</w:t>
            </w:r>
            <w:r>
              <w:rPr>
                <w:rFonts w:hint="eastAsia" w:ascii="Times New Roman" w:hAnsi="Times New Roman" w:eastAsia="方正仿宋_GBK" w:cs="Times New Roman"/>
                <w:sz w:val="24"/>
                <w:szCs w:val="24"/>
                <w:highlight w:val="none"/>
                <w:lang w:val="en-US" w:eastAsia="zh-CN"/>
              </w:rPr>
              <w:t>科技有限公司</w:t>
            </w:r>
          </w:p>
        </w:tc>
        <w:tc>
          <w:tcPr>
            <w:tcW w:w="798" w:type="pct"/>
            <w:vAlign w:val="center"/>
          </w:tcPr>
          <w:p w14:paraId="6530A0F3">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该项目安装钢结构下料生产线1条，采用原材料钢板、型材经过机加工和喷漆工序生产金属结构件，年产钢结构产品7万吨。项目占地面积20926.84m²，总</w:t>
            </w:r>
            <w:r>
              <w:rPr>
                <w:rFonts w:hint="eastAsia" w:ascii="Times New Roman" w:hAnsi="Times New Roman" w:eastAsia="方正仿宋_GBK" w:cs="Times New Roman"/>
                <w:kern w:val="0"/>
                <w:sz w:val="24"/>
                <w:szCs w:val="24"/>
                <w:highlight w:val="none"/>
                <w:lang w:val="en-US" w:eastAsia="zh-CN"/>
              </w:rPr>
              <w:t>投资8113.3938</w:t>
            </w:r>
            <w:r>
              <w:rPr>
                <w:rFonts w:hint="default" w:ascii="Times New Roman" w:hAnsi="Times New Roman" w:eastAsia="方正仿宋_GBK" w:cs="Times New Roman"/>
                <w:kern w:val="0"/>
                <w:sz w:val="24"/>
                <w:szCs w:val="24"/>
                <w:highlight w:val="none"/>
                <w:lang w:val="en-US" w:eastAsia="zh-CN"/>
              </w:rPr>
              <w:t>万元（其中环保投资</w:t>
            </w:r>
            <w:r>
              <w:rPr>
                <w:rFonts w:hint="eastAsia" w:ascii="Times New Roman" w:hAnsi="Times New Roman" w:eastAsia="方正仿宋_GBK" w:cs="Times New Roman"/>
                <w:kern w:val="0"/>
                <w:sz w:val="24"/>
                <w:szCs w:val="24"/>
                <w:highlight w:val="none"/>
                <w:lang w:val="en-US" w:eastAsia="zh-CN"/>
              </w:rPr>
              <w:t>101.5</w:t>
            </w:r>
            <w:r>
              <w:rPr>
                <w:rFonts w:hint="default" w:ascii="Times New Roman" w:hAnsi="Times New Roman" w:eastAsia="方正仿宋_GBK" w:cs="Times New Roman"/>
                <w:kern w:val="0"/>
                <w:sz w:val="24"/>
                <w:szCs w:val="24"/>
                <w:highlight w:val="none"/>
                <w:lang w:val="en-US" w:eastAsia="zh-CN"/>
              </w:rPr>
              <w:t>万元）。</w:t>
            </w:r>
          </w:p>
        </w:tc>
        <w:tc>
          <w:tcPr>
            <w:tcW w:w="3002" w:type="pct"/>
            <w:vAlign w:val="center"/>
          </w:tcPr>
          <w:p w14:paraId="603FD949">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一、施工期环境保护措施</w:t>
            </w:r>
          </w:p>
          <w:p w14:paraId="5DBD8210">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1、废气</w:t>
            </w:r>
          </w:p>
          <w:p w14:paraId="46E72795">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严格落实</w:t>
            </w:r>
            <w:r>
              <w:rPr>
                <w:rFonts w:hint="eastAsia" w:ascii="Times New Roman" w:hAnsi="Times New Roman" w:eastAsia="方正仿宋_GBK" w:cs="Times New Roman"/>
                <w:kern w:val="0"/>
                <w:sz w:val="24"/>
                <w:szCs w:val="24"/>
                <w:highlight w:val="none"/>
                <w:lang w:val="en-US" w:eastAsia="zh-CN"/>
              </w:rPr>
              <w:t>“</w:t>
            </w:r>
            <w:r>
              <w:rPr>
                <w:rFonts w:hint="default" w:ascii="Times New Roman" w:hAnsi="Times New Roman" w:eastAsia="方正仿宋_GBK" w:cs="Times New Roman"/>
                <w:kern w:val="0"/>
                <w:sz w:val="24"/>
                <w:szCs w:val="24"/>
                <w:highlight w:val="none"/>
                <w:lang w:val="en-US" w:eastAsia="zh-CN"/>
              </w:rPr>
              <w:t>六必须</w:t>
            </w:r>
            <w:r>
              <w:rPr>
                <w:rFonts w:hint="eastAsia" w:ascii="Times New Roman" w:hAnsi="Times New Roman" w:eastAsia="方正仿宋_GBK" w:cs="Times New Roman"/>
                <w:kern w:val="0"/>
                <w:sz w:val="24"/>
                <w:szCs w:val="24"/>
                <w:highlight w:val="none"/>
                <w:lang w:val="en-US" w:eastAsia="zh-CN"/>
              </w:rPr>
              <w:t>”“</w:t>
            </w:r>
            <w:r>
              <w:rPr>
                <w:rFonts w:hint="default" w:ascii="Times New Roman" w:hAnsi="Times New Roman" w:eastAsia="方正仿宋_GBK" w:cs="Times New Roman"/>
                <w:kern w:val="0"/>
                <w:sz w:val="24"/>
                <w:szCs w:val="24"/>
                <w:highlight w:val="none"/>
                <w:lang w:val="en-US" w:eastAsia="zh-CN"/>
              </w:rPr>
              <w:t>六不准</w:t>
            </w:r>
            <w:r>
              <w:rPr>
                <w:rFonts w:hint="eastAsia" w:ascii="Times New Roman" w:hAnsi="Times New Roman" w:eastAsia="方正仿宋_GBK" w:cs="Times New Roman"/>
                <w:kern w:val="0"/>
                <w:sz w:val="24"/>
                <w:szCs w:val="24"/>
                <w:highlight w:val="none"/>
                <w:lang w:val="en-US" w:eastAsia="zh-CN"/>
              </w:rPr>
              <w:t>”</w:t>
            </w:r>
            <w:r>
              <w:rPr>
                <w:rFonts w:hint="default" w:ascii="Times New Roman" w:hAnsi="Times New Roman" w:eastAsia="方正仿宋_GBK" w:cs="Times New Roman"/>
                <w:kern w:val="0"/>
                <w:sz w:val="24"/>
                <w:szCs w:val="24"/>
                <w:highlight w:val="none"/>
                <w:lang w:val="en-US" w:eastAsia="zh-CN"/>
              </w:rPr>
              <w:t>规定</w:t>
            </w:r>
            <w:r>
              <w:rPr>
                <w:rFonts w:hint="eastAsia" w:ascii="Times New Roman" w:hAnsi="Times New Roman" w:eastAsia="方正仿宋_GBK" w:cs="Times New Roman"/>
                <w:kern w:val="0"/>
                <w:sz w:val="24"/>
                <w:szCs w:val="24"/>
                <w:highlight w:val="none"/>
                <w:lang w:val="en-US" w:eastAsia="zh-CN"/>
              </w:rPr>
              <w:t>，</w:t>
            </w:r>
            <w:r>
              <w:rPr>
                <w:rFonts w:hint="default" w:ascii="Times New Roman" w:hAnsi="Times New Roman" w:eastAsia="方正仿宋_GBK" w:cs="Times New Roman"/>
                <w:kern w:val="0"/>
                <w:sz w:val="24"/>
                <w:szCs w:val="24"/>
                <w:highlight w:val="none"/>
                <w:lang w:val="en-US" w:eastAsia="zh-CN"/>
              </w:rPr>
              <w:t>现场采用设置围挡、湿法降尘、场地硬化、运输车辆密闭运输等措施；使用低耗能、低污染的施工机械设备、运输工具和合格燃料</w:t>
            </w:r>
            <w:r>
              <w:rPr>
                <w:rFonts w:hint="eastAsia" w:ascii="Times New Roman" w:hAnsi="Times New Roman" w:eastAsia="方正仿宋_GBK" w:cs="Times New Roman"/>
                <w:kern w:val="0"/>
                <w:sz w:val="24"/>
                <w:szCs w:val="24"/>
                <w:highlight w:val="none"/>
                <w:lang w:val="en-US" w:eastAsia="zh-CN"/>
              </w:rPr>
              <w:t>。</w:t>
            </w:r>
          </w:p>
          <w:p w14:paraId="1B668CD8">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2、废水</w:t>
            </w:r>
          </w:p>
          <w:p w14:paraId="731508E2">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eastAsia"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施工废水经隔油沉淀后用于施工场地洒水降尘，不外排</w:t>
            </w:r>
            <w:r>
              <w:rPr>
                <w:rFonts w:hint="eastAsia" w:ascii="Times New Roman" w:hAnsi="Times New Roman" w:eastAsia="方正仿宋_GBK" w:cs="Times New Roman"/>
                <w:kern w:val="0"/>
                <w:sz w:val="24"/>
                <w:szCs w:val="24"/>
                <w:highlight w:val="none"/>
                <w:lang w:val="en-US" w:eastAsia="zh-CN"/>
              </w:rPr>
              <w:t>；生活污水经旱厕收集后排入园区污水管网。</w:t>
            </w:r>
          </w:p>
          <w:p w14:paraId="6377A3E7">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3、噪声</w:t>
            </w:r>
          </w:p>
          <w:p w14:paraId="66E974BB">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优化施工场地布置，选用低噪声施工机械设备；合理安排施工时间，禁止夜间（22:00~6:00）施工</w:t>
            </w:r>
            <w:r>
              <w:rPr>
                <w:rFonts w:hint="eastAsia" w:ascii="Times New Roman" w:hAnsi="Times New Roman" w:eastAsia="方正仿宋_GBK" w:cs="Times New Roman"/>
                <w:kern w:val="0"/>
                <w:sz w:val="24"/>
                <w:szCs w:val="24"/>
                <w:highlight w:val="none"/>
                <w:lang w:val="en-US" w:eastAsia="zh-CN"/>
              </w:rPr>
              <w:t>，如夜间必须进行连续作业的强噪声施工，应征得当地主管部门的同意，并及时公告周边居民；</w:t>
            </w:r>
            <w:r>
              <w:rPr>
                <w:rFonts w:hint="default" w:ascii="Times New Roman" w:hAnsi="Times New Roman" w:eastAsia="方正仿宋_GBK" w:cs="Times New Roman"/>
                <w:kern w:val="0"/>
                <w:sz w:val="24"/>
                <w:szCs w:val="24"/>
                <w:highlight w:val="none"/>
                <w:lang w:val="en-US" w:eastAsia="zh-CN"/>
              </w:rPr>
              <w:t>合理安排施工车辆运输路线与时间，运输车辆实施限速、禁止鸣笛。</w:t>
            </w:r>
          </w:p>
          <w:p w14:paraId="08425E2A">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eastAsia" w:ascii="Times New Roman" w:hAnsi="Times New Roman" w:eastAsia="方正仿宋_GBK" w:cs="Times New Roman"/>
                <w:kern w:val="0"/>
                <w:sz w:val="24"/>
                <w:szCs w:val="24"/>
                <w:highlight w:val="none"/>
                <w:lang w:val="en-US" w:eastAsia="zh-CN"/>
              </w:rPr>
              <w:t>4</w:t>
            </w:r>
            <w:r>
              <w:rPr>
                <w:rFonts w:hint="default" w:ascii="Times New Roman" w:hAnsi="Times New Roman" w:eastAsia="方正仿宋_GBK" w:cs="Times New Roman"/>
                <w:kern w:val="0"/>
                <w:sz w:val="24"/>
                <w:szCs w:val="24"/>
                <w:highlight w:val="none"/>
                <w:lang w:val="en-US" w:eastAsia="zh-CN"/>
              </w:rPr>
              <w:t>、固体废物</w:t>
            </w:r>
          </w:p>
          <w:p w14:paraId="0CFE5ED5">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eastAsia" w:ascii="Times New Roman" w:hAnsi="Times New Roman" w:eastAsia="方正仿宋_GBK" w:cs="Times New Roman"/>
                <w:kern w:val="0"/>
                <w:sz w:val="24"/>
                <w:szCs w:val="24"/>
                <w:highlight w:val="none"/>
                <w:lang w:val="en-US" w:eastAsia="zh-CN"/>
              </w:rPr>
            </w:pPr>
            <w:r>
              <w:rPr>
                <w:rFonts w:hint="eastAsia" w:ascii="Times New Roman" w:hAnsi="Times New Roman" w:eastAsia="方正仿宋_GBK" w:cs="Times New Roman"/>
                <w:kern w:val="0"/>
                <w:sz w:val="24"/>
                <w:szCs w:val="24"/>
                <w:highlight w:val="none"/>
                <w:lang w:val="en-US" w:eastAsia="zh-CN"/>
              </w:rPr>
              <w:t>可回收利用的建筑垃圾（钢筋、钢板、木材等）交废物收购站</w:t>
            </w:r>
            <w:r>
              <w:rPr>
                <w:rFonts w:hint="eastAsia" w:ascii="Times New Roman" w:hAnsi="Times New Roman" w:eastAsia="方正仿宋_GBK" w:cs="Times New Roman"/>
                <w:kern w:val="0"/>
                <w:sz w:val="24"/>
                <w:szCs w:val="24"/>
                <w:highlight w:val="none"/>
                <w:lang w:val="en-US" w:eastAsia="zh-CN"/>
              </w:rPr>
              <w:t>处置</w:t>
            </w:r>
            <w:r>
              <w:rPr>
                <w:rFonts w:hint="eastAsia" w:ascii="Times New Roman" w:hAnsi="Times New Roman" w:eastAsia="方正仿宋_GBK" w:cs="Times New Roman"/>
                <w:kern w:val="0"/>
                <w:sz w:val="24"/>
                <w:szCs w:val="24"/>
                <w:highlight w:val="none"/>
                <w:lang w:val="en-US" w:eastAsia="zh-CN"/>
              </w:rPr>
              <w:t>，不能回收利用的建筑垃圾及时清运至合规场地处置；生活垃圾集中收集后交当地环卫部门处置</w:t>
            </w:r>
            <w:r>
              <w:rPr>
                <w:rFonts w:hint="eastAsia" w:ascii="Times New Roman" w:hAnsi="Times New Roman" w:eastAsia="方正仿宋_GBK" w:cs="Times New Roman"/>
                <w:kern w:val="0"/>
                <w:sz w:val="24"/>
                <w:szCs w:val="24"/>
                <w:highlight w:val="none"/>
                <w:lang w:eastAsia="zh-CN"/>
              </w:rPr>
              <w:t>。</w:t>
            </w:r>
          </w:p>
          <w:p w14:paraId="28C52C26">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eastAsia" w:ascii="Times New Roman" w:hAnsi="Times New Roman" w:eastAsia="方正仿宋_GBK" w:cs="Times New Roman"/>
                <w:kern w:val="0"/>
                <w:sz w:val="24"/>
                <w:szCs w:val="24"/>
                <w:highlight w:val="none"/>
                <w:lang w:val="en-US" w:eastAsia="zh-CN"/>
              </w:rPr>
              <w:t>5</w:t>
            </w:r>
            <w:r>
              <w:rPr>
                <w:rFonts w:hint="default" w:ascii="Times New Roman" w:hAnsi="Times New Roman" w:eastAsia="方正仿宋_GBK" w:cs="Times New Roman"/>
                <w:kern w:val="0"/>
                <w:sz w:val="24"/>
                <w:szCs w:val="24"/>
                <w:highlight w:val="none"/>
                <w:lang w:val="en-US" w:eastAsia="zh-CN"/>
              </w:rPr>
              <w:t>、生态保护</w:t>
            </w:r>
          </w:p>
          <w:p w14:paraId="076E50B8">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eastAsia" w:ascii="Times New Roman" w:hAnsi="Times New Roman" w:eastAsia="方正仿宋_GBK" w:cs="Times New Roman"/>
                <w:kern w:val="0"/>
                <w:sz w:val="24"/>
                <w:szCs w:val="24"/>
                <w:highlight w:val="none"/>
                <w:lang w:val="en-US" w:eastAsia="zh-CN"/>
              </w:rPr>
            </w:pPr>
            <w:r>
              <w:rPr>
                <w:rFonts w:hint="eastAsia" w:ascii="Times New Roman" w:hAnsi="Times New Roman" w:eastAsia="方正仿宋_GBK" w:cs="Times New Roman"/>
                <w:kern w:val="0"/>
                <w:sz w:val="24"/>
                <w:szCs w:val="24"/>
                <w:highlight w:val="none"/>
                <w:lang w:val="en-US" w:eastAsia="zh-CN"/>
              </w:rPr>
              <w:t>施工期避开雨水开挖，减少水土流失；严格控制施工作业区，减少对附近植被和道路的破坏；采取修建临时挡土墙、排水沟等措施。施工结束后，及时清理施工现场并进行绿化。</w:t>
            </w:r>
          </w:p>
          <w:p w14:paraId="549D4D84">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二、运营期环境保护措施</w:t>
            </w:r>
          </w:p>
          <w:p w14:paraId="66501253">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1、废气</w:t>
            </w:r>
          </w:p>
          <w:p w14:paraId="129053B7">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切割废气</w:t>
            </w:r>
            <w:r>
              <w:rPr>
                <w:rFonts w:hint="eastAsia" w:ascii="Times New Roman" w:hAnsi="Times New Roman" w:eastAsia="方正仿宋_GBK" w:cs="Times New Roman"/>
                <w:kern w:val="0"/>
                <w:sz w:val="24"/>
                <w:szCs w:val="24"/>
                <w:highlight w:val="none"/>
                <w:lang w:val="en-US" w:eastAsia="zh-CN"/>
              </w:rPr>
              <w:t>由集气罩</w:t>
            </w:r>
            <w:r>
              <w:rPr>
                <w:rFonts w:hint="default" w:ascii="Times New Roman" w:hAnsi="Times New Roman" w:eastAsia="方正仿宋_GBK" w:cs="Times New Roman"/>
                <w:kern w:val="0"/>
                <w:sz w:val="24"/>
                <w:szCs w:val="24"/>
                <w:highlight w:val="none"/>
                <w:lang w:val="en-US" w:eastAsia="zh-CN"/>
              </w:rPr>
              <w:t>收集至布袋除尘器</w:t>
            </w:r>
            <w:r>
              <w:rPr>
                <w:rFonts w:hint="eastAsia" w:ascii="Times New Roman" w:hAnsi="Times New Roman" w:eastAsia="方正仿宋_GBK" w:cs="Times New Roman"/>
                <w:kern w:val="0"/>
                <w:sz w:val="24"/>
                <w:szCs w:val="24"/>
                <w:highlight w:val="none"/>
                <w:lang w:val="en-US" w:eastAsia="zh-CN"/>
              </w:rPr>
              <w:t>处理后排放；抛丸废气由集气罩收集后经抛丸机自带的脉冲反吹式滤筒除尘器处理后排放；焊接烟气由吹吸式送回风管收集经焊烟净化器处理后排放；设置密闭的喷涂房和晾干房，喷漆、流平和晾干废气经过负压收集引入“二级纤维过滤棉+二级活性炭吸附脱附+催化燃烧（RCO）”装置处理后，由不低于15m高的排气筒（（DA001）排放；食堂油烟经油烟净化装置处理后排放。</w:t>
            </w:r>
          </w:p>
          <w:p w14:paraId="0978C3D6">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2、废水</w:t>
            </w:r>
          </w:p>
          <w:p w14:paraId="6AA23FD3">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eastAsia" w:ascii="Times New Roman" w:hAnsi="Times New Roman" w:eastAsia="方正仿宋_GBK" w:cs="Times New Roman"/>
                <w:kern w:val="0"/>
                <w:sz w:val="24"/>
                <w:szCs w:val="24"/>
                <w:highlight w:val="none"/>
                <w:lang w:val="en-US" w:eastAsia="zh-CN"/>
              </w:rPr>
            </w:pPr>
            <w:r>
              <w:rPr>
                <w:rFonts w:hint="eastAsia" w:ascii="Times New Roman" w:hAnsi="Times New Roman" w:eastAsia="方正仿宋_GBK" w:cs="Times New Roman"/>
                <w:kern w:val="0"/>
                <w:sz w:val="24"/>
                <w:szCs w:val="24"/>
                <w:highlight w:val="none"/>
                <w:lang w:val="en-US" w:eastAsia="zh-CN"/>
              </w:rPr>
              <w:t>该项目无生产废水产生。生活污水经厂区自建化粪池预处理后通过园区污水管网排入麻柳工业污水处理厂，经污水处理厂处理达标后外排；食堂废水经隔油装置处理后排入化粪池。</w:t>
            </w:r>
          </w:p>
          <w:p w14:paraId="49FC9AF6">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3、噪声</w:t>
            </w:r>
          </w:p>
          <w:p w14:paraId="1B164A66">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eastAsia" w:ascii="Times New Roman" w:hAnsi="Times New Roman" w:eastAsia="方正仿宋_GBK" w:cs="Times New Roman"/>
                <w:kern w:val="0"/>
                <w:sz w:val="24"/>
                <w:szCs w:val="24"/>
                <w:highlight w:val="none"/>
                <w:lang w:val="en-US" w:eastAsia="zh-CN"/>
              </w:rPr>
            </w:pPr>
            <w:r>
              <w:rPr>
                <w:rFonts w:hint="eastAsia" w:ascii="Times New Roman" w:hAnsi="Times New Roman" w:eastAsia="方正仿宋_GBK" w:cs="Times New Roman"/>
                <w:kern w:val="0"/>
                <w:sz w:val="24"/>
                <w:szCs w:val="24"/>
                <w:highlight w:val="none"/>
                <w:lang w:val="en-US" w:eastAsia="zh-CN"/>
              </w:rPr>
              <w:t>生产车间采取封闭措施，生产设备均布置在车间内，</w:t>
            </w:r>
            <w:r>
              <w:rPr>
                <w:rFonts w:hint="eastAsia" w:ascii="Times New Roman" w:hAnsi="Times New Roman" w:eastAsia="方正仿宋_GBK" w:cs="Times New Roman"/>
                <w:kern w:val="0"/>
                <w:sz w:val="24"/>
                <w:szCs w:val="24"/>
                <w:highlight w:val="none"/>
                <w:lang w:val="en-US" w:eastAsia="zh-CN"/>
              </w:rPr>
              <w:t>空压机等设备布置在专用房间</w:t>
            </w:r>
            <w:r>
              <w:rPr>
                <w:rFonts w:hint="eastAsia" w:ascii="Times New Roman" w:hAnsi="Times New Roman" w:eastAsia="方正仿宋_GBK" w:cs="Times New Roman"/>
                <w:kern w:val="0"/>
                <w:sz w:val="24"/>
                <w:szCs w:val="24"/>
                <w:highlight w:val="none"/>
                <w:lang w:val="en-US" w:eastAsia="zh-CN"/>
              </w:rPr>
              <w:t>；选用低噪声设备，加强对设备进行维护和保养，采取基础减震、安装减震垫措施，风机安装消声器、柔性接口。</w:t>
            </w:r>
          </w:p>
          <w:p w14:paraId="7740CAB0">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eastAsia" w:ascii="Times New Roman" w:hAnsi="Times New Roman" w:eastAsia="方正仿宋_GBK" w:cs="Times New Roman"/>
                <w:kern w:val="0"/>
                <w:sz w:val="24"/>
                <w:szCs w:val="24"/>
                <w:highlight w:val="none"/>
                <w:lang w:val="en-US" w:eastAsia="zh-CN"/>
              </w:rPr>
              <w:t>4</w:t>
            </w:r>
            <w:r>
              <w:rPr>
                <w:rFonts w:hint="default" w:ascii="Times New Roman" w:hAnsi="Times New Roman" w:eastAsia="方正仿宋_GBK" w:cs="Times New Roman"/>
                <w:kern w:val="0"/>
                <w:sz w:val="24"/>
                <w:szCs w:val="24"/>
                <w:highlight w:val="none"/>
                <w:lang w:val="en-US" w:eastAsia="zh-CN"/>
              </w:rPr>
              <w:t>、固体废物</w:t>
            </w:r>
          </w:p>
          <w:p w14:paraId="6D9897B3">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eastAsia" w:ascii="Times New Roman" w:hAnsi="Times New Roman" w:eastAsia="方正仿宋_GBK" w:cs="Times New Roman"/>
                <w:kern w:val="0"/>
                <w:sz w:val="24"/>
                <w:szCs w:val="24"/>
                <w:highlight w:val="none"/>
                <w:lang w:val="en-US" w:eastAsia="zh-CN"/>
              </w:rPr>
            </w:pPr>
            <w:r>
              <w:rPr>
                <w:rFonts w:hint="eastAsia" w:ascii="Times New Roman" w:hAnsi="Times New Roman" w:eastAsia="方正仿宋_GBK" w:cs="Times New Roman"/>
                <w:kern w:val="0"/>
                <w:sz w:val="24"/>
                <w:szCs w:val="24"/>
                <w:highlight w:val="none"/>
                <w:lang w:val="en-US" w:eastAsia="zh-CN"/>
              </w:rPr>
              <w:t>金属边角料、焊渣（含废焊丝）、抛丸铁屑、废钢砂、除尘灰、废铁屑、废包装材料</w:t>
            </w:r>
            <w:bookmarkStart w:id="0" w:name="_GoBack"/>
            <w:r>
              <w:rPr>
                <w:rFonts w:hint="eastAsia" w:ascii="Times New Roman" w:hAnsi="Times New Roman" w:eastAsia="方正仿宋_GBK" w:cs="Times New Roman"/>
                <w:kern w:val="0"/>
                <w:sz w:val="24"/>
                <w:szCs w:val="24"/>
                <w:highlight w:val="none"/>
                <w:lang w:val="en-US" w:eastAsia="zh-CN"/>
              </w:rPr>
              <w:t>等</w:t>
            </w:r>
            <w:bookmarkEnd w:id="0"/>
            <w:r>
              <w:rPr>
                <w:rFonts w:hint="eastAsia" w:ascii="Times New Roman" w:hAnsi="Times New Roman" w:eastAsia="方正仿宋_GBK" w:cs="Times New Roman"/>
                <w:kern w:val="0"/>
                <w:sz w:val="24"/>
                <w:szCs w:val="24"/>
                <w:highlight w:val="none"/>
                <w:lang w:val="en-US" w:eastAsia="zh-CN"/>
              </w:rPr>
              <w:t>收集后</w:t>
            </w:r>
            <w:r>
              <w:rPr>
                <w:rFonts w:hint="eastAsia" w:ascii="Times New Roman" w:hAnsi="Times New Roman" w:eastAsia="方正仿宋_GBK" w:cs="Times New Roman"/>
                <w:kern w:val="0"/>
                <w:sz w:val="24"/>
                <w:szCs w:val="24"/>
                <w:highlight w:val="none"/>
                <w:lang w:val="en-US" w:eastAsia="zh-CN"/>
              </w:rPr>
              <w:t>定期送至废旧资源回收公司；废活性炭、废矿物油、废油桶收集后暂存于危废暂存间，定期交由有资质单位处置；</w:t>
            </w:r>
            <w:r>
              <w:rPr>
                <w:rFonts w:hint="eastAsia" w:ascii="Times New Roman" w:hAnsi="Times New Roman" w:eastAsia="方正仿宋_GBK" w:cs="Times New Roman"/>
                <w:kern w:val="0"/>
                <w:sz w:val="24"/>
                <w:szCs w:val="24"/>
                <w:highlight w:val="none"/>
                <w:lang w:val="en-US" w:eastAsia="zh-CN"/>
              </w:rPr>
              <w:t>水性漆渣、废水性漆桶、废含油漆手套、废过滤材料等与</w:t>
            </w:r>
            <w:r>
              <w:rPr>
                <w:rFonts w:hint="eastAsia" w:ascii="Times New Roman" w:hAnsi="Times New Roman" w:eastAsia="方正仿宋_GBK" w:cs="Times New Roman"/>
                <w:kern w:val="0"/>
                <w:sz w:val="24"/>
                <w:szCs w:val="24"/>
                <w:highlight w:val="none"/>
                <w:lang w:val="en-US" w:eastAsia="zh-CN"/>
              </w:rPr>
              <w:t>生活垃圾收集后交当地环卫部门处置；餐厨垃圾</w:t>
            </w:r>
            <w:r>
              <w:rPr>
                <w:rFonts w:hint="eastAsia" w:ascii="Times New Roman" w:hAnsi="Times New Roman" w:eastAsia="方正仿宋_GBK" w:cs="Times New Roman"/>
                <w:kern w:val="0"/>
                <w:sz w:val="24"/>
                <w:szCs w:val="24"/>
                <w:highlight w:val="none"/>
                <w:lang w:val="en-US" w:eastAsia="zh-CN"/>
              </w:rPr>
              <w:t>交由有资质单位处置。</w:t>
            </w:r>
          </w:p>
          <w:p w14:paraId="41646CE0">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eastAsia" w:ascii="Times New Roman" w:hAnsi="Times New Roman" w:eastAsia="方正仿宋_GBK" w:cs="Times New Roman"/>
                <w:kern w:val="0"/>
                <w:sz w:val="24"/>
                <w:szCs w:val="24"/>
                <w:highlight w:val="none"/>
                <w:lang w:val="en-US" w:eastAsia="zh-CN"/>
              </w:rPr>
              <w:t>5</w:t>
            </w:r>
            <w:r>
              <w:rPr>
                <w:rFonts w:hint="default" w:ascii="Times New Roman" w:hAnsi="Times New Roman" w:eastAsia="方正仿宋_GBK" w:cs="Times New Roman"/>
                <w:kern w:val="0"/>
                <w:sz w:val="24"/>
                <w:szCs w:val="24"/>
                <w:highlight w:val="none"/>
                <w:lang w:val="en-US" w:eastAsia="zh-CN"/>
              </w:rPr>
              <w:t>、地下水和土壤</w:t>
            </w:r>
          </w:p>
          <w:p w14:paraId="40C506B8">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eastAsia" w:ascii="Times New Roman" w:hAnsi="Times New Roman" w:eastAsia="方正仿宋_GBK" w:cs="Times New Roman"/>
                <w:kern w:val="0"/>
                <w:sz w:val="24"/>
                <w:szCs w:val="24"/>
                <w:highlight w:val="none"/>
                <w:lang w:val="en-US" w:eastAsia="zh-CN"/>
              </w:rPr>
              <w:t>严格按照要求落实分区防渗措施。对危废暂存间进行重点防渗，对喷涂区、化粪池等进行一般防渗，对厂区其他地面进行简单防渗。</w:t>
            </w:r>
          </w:p>
          <w:p w14:paraId="1B446888">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三、环境风险</w:t>
            </w:r>
          </w:p>
          <w:p w14:paraId="5F8FD985">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规范设置危废暂存间警示标识，废气处理系统专人维护并定期检修；制定完善应急预案并定期进行应急演练，强化人员安全意识和技能培训，认真落实安全环保、消防措施及风险防范、管理措施。</w:t>
            </w:r>
          </w:p>
          <w:p w14:paraId="43C2C5C5">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四、其他部门意见</w:t>
            </w:r>
          </w:p>
          <w:p w14:paraId="5B30A329">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eastAsia" w:ascii="Times New Roman" w:hAnsi="Times New Roman" w:eastAsia="方正仿宋_GBK" w:cs="Times New Roman"/>
                <w:kern w:val="0"/>
                <w:sz w:val="24"/>
                <w:szCs w:val="24"/>
                <w:highlight w:val="none"/>
                <w:lang w:val="en-US" w:eastAsia="zh-CN"/>
              </w:rPr>
            </w:pPr>
            <w:r>
              <w:rPr>
                <w:rFonts w:hint="eastAsia" w:ascii="Times New Roman" w:hAnsi="Times New Roman" w:eastAsia="方正仿宋_GBK" w:cs="Times New Roman"/>
                <w:kern w:val="0"/>
                <w:sz w:val="24"/>
                <w:szCs w:val="24"/>
                <w:highlight w:val="none"/>
                <w:lang w:val="en-US" w:eastAsia="zh-CN"/>
              </w:rPr>
              <w:t>1、四川达州东部经济开发区政务服务管理局《四川省固定资产投资项目备案表》（备案号：川投资备【2503-511715-04-01-198076】FGQB-0051号）</w:t>
            </w:r>
          </w:p>
          <w:p w14:paraId="73725D8B">
            <w:pPr>
              <w:keepNext w:val="0"/>
              <w:keepLines w:val="0"/>
              <w:pageBreakBefore w:val="0"/>
              <w:widowControl/>
              <w:numPr>
                <w:ilvl w:val="0"/>
                <w:numId w:val="0"/>
              </w:numPr>
              <w:kinsoku/>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方正仿宋_GBK" w:cs="Times New Roman"/>
                <w:kern w:val="0"/>
                <w:sz w:val="24"/>
                <w:szCs w:val="24"/>
                <w:highlight w:val="none"/>
                <w:lang w:val="en-US" w:eastAsia="zh-CN"/>
              </w:rPr>
            </w:pPr>
            <w:r>
              <w:rPr>
                <w:rFonts w:hint="eastAsia" w:ascii="Times New Roman" w:hAnsi="Times New Roman" w:eastAsia="方正仿宋_GBK" w:cs="Times New Roman"/>
                <w:kern w:val="0"/>
                <w:sz w:val="24"/>
                <w:szCs w:val="24"/>
                <w:highlight w:val="none"/>
                <w:lang w:val="en-US" w:eastAsia="zh-CN"/>
              </w:rPr>
              <w:t>2、四川达州东部经济开发区国土空间规划和自然资源资产管理委员会《2024年第6次会议纪要》《2025年第1次会议纪要》</w:t>
            </w:r>
          </w:p>
        </w:tc>
      </w:tr>
    </w:tbl>
    <w:p w14:paraId="02FC6D92"/>
    <w:sectPr>
      <w:pgSz w:w="16838" w:h="11906" w:orient="landscape"/>
      <w:pgMar w:top="1440" w:right="1083" w:bottom="1440" w:left="108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51761"/>
    <w:rsid w:val="043E15A4"/>
    <w:rsid w:val="15C51761"/>
    <w:rsid w:val="20E144FE"/>
    <w:rsid w:val="21D00D7C"/>
    <w:rsid w:val="27FA716B"/>
    <w:rsid w:val="3DA704CD"/>
    <w:rsid w:val="455A0E09"/>
    <w:rsid w:val="6F8F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等线" w:hAnsi="等线" w:eastAsia="等线" w:cs="宋体"/>
      <w:kern w:val="2"/>
      <w:sz w:val="22"/>
      <w:szCs w:val="24"/>
      <w:lang w:val="en-US" w:eastAsia="zh-CN" w:bidi="ar-SA"/>
      <w14:ligatures w14:val="standardContextual"/>
    </w:rPr>
  </w:style>
  <w:style w:type="paragraph" w:styleId="2">
    <w:name w:val="heading 1"/>
    <w:basedOn w:val="1"/>
    <w:next w:val="1"/>
    <w:qFormat/>
    <w:uiPriority w:val="0"/>
    <w:pPr>
      <w:keepNext/>
      <w:keepLines/>
      <w:spacing w:beforeLines="0" w:beforeAutospacing="0" w:afterLines="0" w:afterAutospacing="0" w:line="640" w:lineRule="exact"/>
      <w:jc w:val="center"/>
      <w:outlineLvl w:val="0"/>
    </w:pPr>
    <w:rPr>
      <w:rFonts w:ascii="Calibri" w:hAnsi="Calibri" w:eastAsia="方正小标宋_GBK"/>
      <w:kern w:val="44"/>
      <w:sz w:val="44"/>
      <w:szCs w:val="22"/>
    </w:rPr>
  </w:style>
  <w:style w:type="paragraph" w:styleId="3">
    <w:name w:val="heading 2"/>
    <w:basedOn w:val="1"/>
    <w:next w:val="1"/>
    <w:semiHidden/>
    <w:unhideWhenUsed/>
    <w:qFormat/>
    <w:uiPriority w:val="0"/>
    <w:pPr>
      <w:keepNext/>
      <w:keepLines/>
      <w:spacing w:beforeLines="0" w:beforeAutospacing="0" w:afterLines="0" w:afterAutospacing="0" w:line="578" w:lineRule="exact"/>
      <w:jc w:val="left"/>
      <w:outlineLvl w:val="1"/>
    </w:pPr>
    <w:rPr>
      <w:rFonts w:ascii="Arial" w:hAnsi="Arial" w:eastAsia="方正黑体_GBK"/>
      <w:sz w:val="32"/>
      <w:szCs w:val="2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1390</Words>
  <Characters>1465</Characters>
  <Lines>0</Lines>
  <Paragraphs>0</Paragraphs>
  <TotalTime>23</TotalTime>
  <ScaleCrop>false</ScaleCrop>
  <LinksUpToDate>false</LinksUpToDate>
  <CharactersWithSpaces>1465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2025-04-28T03:39:00Z</dcterms:created>
  <dc:creator></dc:creator>
  <cp:lastModifiedBy></cp:lastModifiedBy>
  <dcterms:modified xsi:type="dcterms:W3CDTF">2025-05-08T02:36:59Z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48A99E5E5505474FA883A5BAB1026BE9_13</vt:lpwstr>
  </property>
  <property fmtid="{D5CDD505-2E9C-101B-9397-08002B2CF9AE}" pid="4" name="KSOTemplateDocerSaveRecord">
    <vt:lpwstr>eyJoZGlkIjoiNTk3YmQyMzM4NzI5NDc5YjgxZTc1ZDllYWFkMDdjMDgiLCJ1c2VySWQiOiI0Mzg1Mjk5ODEifQ==</vt:lpwstr>
  </property>
</Properties>
</file>