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1" w:rightFromText="181" w:horzAnchor="margin" w:tblpX="1" w:tblpY="1"/>
        <w:tblOverlap w:val="never"/>
        <w:tblW w:w="14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6"/>
        <w:gridCol w:w="717"/>
        <w:gridCol w:w="642"/>
        <w:gridCol w:w="3856"/>
        <w:gridCol w:w="7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建设地点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建设单位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环境影响评价机构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项目概况</w:t>
            </w:r>
          </w:p>
        </w:tc>
        <w:tc>
          <w:tcPr>
            <w:tcW w:w="7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主要环境影响及预防或者减轻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  <w:t>不良环境影响的对策和措施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0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平安7H井油气回收试采工程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四川达州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通川区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大庆油田有限责任公司试油试采分公司</w:t>
            </w:r>
          </w:p>
        </w:tc>
        <w:tc>
          <w:tcPr>
            <w:tcW w:w="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-SA"/>
              </w:rPr>
              <w:t>四川依山傍水环境科技有限公司</w:t>
            </w:r>
          </w:p>
        </w:tc>
        <w:tc>
          <w:tcPr>
            <w:tcW w:w="3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cs="Times New Roman" w:eastAsiaTheme="minorEastAsia"/>
                <w:i w:val="0"/>
                <w:iCs w:val="0"/>
                <w:color w:val="ED7D31" w:themeColor="accent2"/>
                <w:sz w:val="21"/>
                <w:szCs w:val="21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auto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项目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bidi="ar"/>
              </w:rPr>
              <w:t>位于达州市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通川区北山镇石龙村2</w:t>
            </w:r>
            <w:r>
              <w:rPr>
                <w:rFonts w:hint="eastAsia"/>
                <w:color w:val="auto"/>
                <w:szCs w:val="24"/>
              </w:rPr>
              <w:t>组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eastAsia="zh-CN" w:bidi="ar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新建油气</w:t>
            </w:r>
            <w:r>
              <w:rPr>
                <w:color w:val="auto"/>
              </w:rPr>
              <w:t>回收站一座，</w:t>
            </w:r>
            <w:r>
              <w:rPr>
                <w:rFonts w:hint="eastAsia"/>
                <w:color w:val="auto"/>
                <w:lang w:eastAsia="zh-CN"/>
              </w:rPr>
              <w:t>目的层位</w:t>
            </w:r>
            <w:r>
              <w:rPr>
                <w:rFonts w:hint="eastAsia"/>
                <w:color w:val="auto"/>
                <w:lang w:val="en-US" w:eastAsia="zh-CN"/>
              </w:rPr>
              <w:t>凉高山</w:t>
            </w:r>
            <w:r>
              <w:rPr>
                <w:color w:val="auto"/>
              </w:rPr>
              <w:t>组</w:t>
            </w:r>
            <w:r>
              <w:rPr>
                <w:rFonts w:hint="eastAsia"/>
                <w:color w:val="auto"/>
                <w:lang w:eastAsia="zh-CN"/>
              </w:rPr>
              <w:t>，回收</w:t>
            </w:r>
            <w:r>
              <w:rPr>
                <w:rFonts w:hint="eastAsia"/>
                <w:color w:val="auto"/>
                <w:lang w:val="en-US" w:eastAsia="zh-CN"/>
              </w:rPr>
              <w:t>页岩油及天然气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color w:val="auto"/>
              </w:rPr>
              <w:t>不含H</w:t>
            </w:r>
            <w:r>
              <w:rPr>
                <w:color w:val="auto"/>
                <w:vertAlign w:val="subscript"/>
              </w:rPr>
              <w:t>2</w:t>
            </w:r>
            <w:r>
              <w:rPr>
                <w:color w:val="auto"/>
              </w:rPr>
              <w:t>S</w:t>
            </w:r>
            <w:r>
              <w:rPr>
                <w:rFonts w:hint="eastAsia"/>
                <w:color w:val="auto"/>
                <w:lang w:eastAsia="zh-CN"/>
              </w:rPr>
              <w:t>），主要设置</w:t>
            </w:r>
            <w:r>
              <w:rPr>
                <w:rFonts w:hint="eastAsia"/>
                <w:color w:val="auto"/>
                <w:szCs w:val="24"/>
              </w:rPr>
              <w:t>工艺区</w:t>
            </w:r>
            <w:r>
              <w:rPr>
                <w:rFonts w:hint="eastAsia"/>
                <w:color w:val="auto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井口装置、</w:t>
            </w:r>
            <w:r>
              <w:rPr>
                <w:rFonts w:hint="eastAsia"/>
                <w:color w:val="auto"/>
                <w:szCs w:val="24"/>
              </w:rPr>
              <w:t>水套加热炉、分离器、</w:t>
            </w:r>
            <w:r>
              <w:rPr>
                <w:rFonts w:hint="eastAsia"/>
                <w:color w:val="auto"/>
                <w:szCs w:val="24"/>
                <w:lang w:eastAsia="zh-CN"/>
              </w:rPr>
              <w:t>压缩撬</w:t>
            </w:r>
            <w:r>
              <w:rPr>
                <w:color w:val="auto"/>
                <w:szCs w:val="24"/>
              </w:rPr>
              <w:t>、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脱水撬、调压撬、脱烃橇、</w:t>
            </w:r>
            <w:r>
              <w:rPr>
                <w:color w:val="auto"/>
                <w:szCs w:val="24"/>
              </w:rPr>
              <w:t>加气柱、</w:t>
            </w:r>
            <w:r>
              <w:rPr>
                <w:rFonts w:hint="eastAsia"/>
                <w:color w:val="auto"/>
                <w:szCs w:val="24"/>
              </w:rPr>
              <w:t>放空系统等</w:t>
            </w:r>
            <w:r>
              <w:rPr>
                <w:rFonts w:hint="eastAsia"/>
                <w:color w:val="auto"/>
                <w:szCs w:val="24"/>
                <w:lang w:eastAsia="zh-CN"/>
              </w:rPr>
              <w:t>）</w:t>
            </w:r>
            <w:r>
              <w:rPr>
                <w:rFonts w:hint="eastAsia"/>
                <w:color w:val="auto"/>
                <w:szCs w:val="24"/>
              </w:rPr>
              <w:t>、污水收集</w:t>
            </w:r>
            <w:r>
              <w:rPr>
                <w:color w:val="auto"/>
                <w:szCs w:val="24"/>
              </w:rPr>
              <w:t>系统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页岩油收集系统、混烃收集系统、</w:t>
            </w:r>
            <w:r>
              <w:rPr>
                <w:rFonts w:hint="eastAsia"/>
                <w:color w:val="auto"/>
                <w:szCs w:val="24"/>
              </w:rPr>
              <w:t>自控通信、供配电等。预计试采量</w:t>
            </w:r>
            <w:r>
              <w:rPr>
                <w:rFonts w:hint="eastAsia"/>
                <w:color w:val="auto"/>
                <w:lang w:val="en-US" w:eastAsia="zh-CN"/>
              </w:rPr>
              <w:t>为页岩油20m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lang w:val="en-US" w:eastAsia="zh-CN"/>
              </w:rPr>
              <w:t>/d，</w:t>
            </w:r>
            <w:r>
              <w:rPr>
                <w:color w:val="auto"/>
              </w:rPr>
              <w:t>天然气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color w:val="auto"/>
              </w:rPr>
              <w:t>×10</w:t>
            </w:r>
            <w:r>
              <w:rPr>
                <w:color w:val="auto"/>
                <w:vertAlign w:val="superscript"/>
              </w:rPr>
              <w:t>4</w:t>
            </w:r>
            <w:r>
              <w:rPr>
                <w:color w:val="auto"/>
              </w:rPr>
              <w:t>Nm</w:t>
            </w:r>
            <w:r>
              <w:rPr>
                <w:color w:val="auto"/>
                <w:vertAlign w:val="superscript"/>
              </w:rPr>
              <w:t>3</w:t>
            </w:r>
            <w:r>
              <w:rPr>
                <w:color w:val="auto"/>
              </w:rPr>
              <w:t>/d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  <w:lang w:val="en-US" w:eastAsia="zh-CN"/>
              </w:rPr>
              <w:t>混烃4m</w:t>
            </w:r>
            <w:r>
              <w:rPr>
                <w:rFonts w:hint="eastAsia"/>
                <w:color w:val="auto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color w:val="auto"/>
                <w:lang w:val="en-US" w:eastAsia="zh-CN"/>
              </w:rPr>
              <w:t>/d</w:t>
            </w:r>
            <w:r>
              <w:rPr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项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eastAsia="zh-CN" w:bidi="ar"/>
              </w:rPr>
              <w:t>目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bidi="ar"/>
              </w:rPr>
              <w:t>在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原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eastAsia="zh-CN" w:bidi="ar"/>
              </w:rPr>
              <w:t>平安7H井</w:t>
            </w:r>
            <w:r>
              <w:rPr>
                <w:rFonts w:hint="default" w:ascii="Times New Roman" w:hAnsi="Times New Roman" w:cs="Times New Roman"/>
                <w:color w:val="000000"/>
                <w:kern w:val="2"/>
                <w:szCs w:val="24"/>
                <w:lang w:bidi="ar"/>
              </w:rPr>
              <w:t>场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Cs w:val="24"/>
                <w:lang w:val="en-US" w:eastAsia="zh-CN" w:bidi="ar"/>
              </w:rPr>
              <w:t>内建设，不新增占地。项目总投资850万元，其中环保投资55.5万元。</w:t>
            </w:r>
          </w:p>
        </w:tc>
        <w:tc>
          <w:tcPr>
            <w:tcW w:w="75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施工期主要环境保护措施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大气污染防治措施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加强机械和车辆管理，机械设备应配备相应的消烟除尘设备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，使用合格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燃油，定期检查、维修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、保养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运输车辆控制车速等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确保尾气达标排放。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强化扬尘污染防治，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设置围栏，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采取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覆盖、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洒水降尘、密闭运输等措施确保施工场地扬尘达标排放。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）水污染防治措施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施工废水经隔油沉淀处理后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回用于洒水降尘和混凝土养护用水，不外排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；试压废水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经沉淀池沉淀处理后，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回用于洒水降尘；生活污水</w:t>
            </w:r>
            <w:bookmarkStart w:id="0" w:name="OLE_LINK73"/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依托钻井期建设的化粪池（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vertAlign w:val="super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）收集，定期拉运至当地城镇生活污水处理厂处理</w:t>
            </w:r>
            <w:bookmarkEnd w:id="0"/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固体废物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施工废料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收集后分类处置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不能回收部分及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清管试压废渣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清运至合规建筑垃圾处置场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漆桶、隔油沉淀池油泥等危险废物，暂存危废暂存间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定期交由资质单位转运处置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生活垃圾利用附近农户现有的设施进行收集后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定期交由当地环卫部门处理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8"/>
              <w:widowControl/>
              <w:shd w:val="clear" w:color="auto" w:fill="FFFFFF"/>
              <w:adjustRightInd w:val="0"/>
              <w:snapToGrid w:val="0"/>
              <w:spacing w:beforeAutospacing="0" w:afterAutospacing="0" w:line="240" w:lineRule="atLeast"/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生态环境保护措施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强化施工环境管理，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优化建设方案，配备巡护管理员，加强燃油、化学物品的管理，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做好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遮盖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严格控制施工范围，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合理安排工期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禁止在项目站场范围外进行施工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）噪声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污染防治措施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理布局施工现场，优化施工方式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，采用先进低噪声设备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临时隔声屏障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同时加强各类施工设备的维护和保养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合理安排施工运输车辆的行走路线和行走时间等措施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控制和减小噪声对周围居民等声环境敏感点的影响。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运营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期主要环境保护措施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1.水套炉采用低氮燃烧，燃烧废气通过自带8m高排气筒排放；燃气发电机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站内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天然气，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燃烧废气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自带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4.5m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高排气筒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en-US"/>
                <w14:textFill>
                  <w14:solidFill>
                    <w14:schemeClr w14:val="tx1"/>
                  </w14:solidFill>
                </w14:textFill>
              </w:rPr>
              <w:t>排放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；储罐呼吸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废气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非正常工况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检修废气和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放空废气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放空火炬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燃烧排放；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合理设置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装置区的布局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加强环保管理和装置运行监控，开展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减少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和控制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挥发性有机物的排放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2.气田水、分子筛冷凝水、放空分离废水、检修废水、方井雨水，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暂存污水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罐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定期用密闭罐车运至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有处理能力和环保手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续的污水处理厂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；初期雨水通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过排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水沟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收集至初期雨水池，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定期用密闭罐车运至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有处理能力和环保手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续的污水处理厂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；生活污水依托现有36m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化粪池收集后定期</w:t>
            </w:r>
            <w:bookmarkStart w:id="1" w:name="OLE_LINK55"/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拉运至当地城镇生活污水处理厂处理</w:t>
            </w:r>
            <w:bookmarkEnd w:id="1"/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3.采取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分区防渗措施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井口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、节流管汇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污水罐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、水套炉、三相分离器、安全阀组、混烃罐、油罐、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油水分离罐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、脱水撬、脱烃撬、放空分液罐、压缩撬、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燃气发电机、隔油池、初期雨水池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区域进行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重点防渗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，分别对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污水罐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、混烃罐、油罐、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油水分离罐、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脱烃橇、放空分液罐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设置围堰。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地下水和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土壤跟踪监测点，对土壤环境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和地下水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监控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，异常时立刻采取有效措施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4.采取合理布局，选用低噪声设备和工艺，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安装减震垫层、吸声材料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，设置隔声屏障，加强设备维护、运输管理等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噪声污染防治措施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减少噪声对外环境影响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润滑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油（桶）、废含油抹布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手套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、废机油滤芯、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废分子筛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、油罐油泥、污水罐油泥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隔油池油泥等危险废物，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分类暂存于危废暂存间内，定期交由资质单位转运处置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生活垃圾集中收集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，定期交由当地环卫部门处理。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退役期环境保护措施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对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气井规范进行封井作业。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清理时采取降尘措施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设施拆除、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井场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清理等产生的废弃管道和设备、建筑垃圾等收集并合理处置</w:t>
            </w:r>
            <w:r>
              <w:rPr>
                <w:rFonts w:hint="eastAsia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及时进行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迹地生态恢复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四、主要环境风险防范措施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配备完善的放空系统、安全截断系统、可燃气体报警系统、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zh-CN" w:eastAsia="zh-CN"/>
              </w:rPr>
              <w:t>超压安全阀、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防渗围堰、截排水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沟，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加强管道、设备、仪表的维护保养，合理规划运输路线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，制定相应的突发环境事件应急预案并定期演练等环境风险防范措施，控制和降低环境风险。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公众参与情况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建设单位按照《环境影响评价公众参与办法》要求，通过网上公示、登报公示、张贴公告等形式对环评信息进行了公开，征求公众意见，在信息公开期间，未收到反对意见。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05"/>
              <w:jc w:val="both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其它部门意见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firstLine="42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通川区发展改革局出具《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四川省固定资产投资备案表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备案号：川投资备【2404-511702-04-0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785285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】FGQB-0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435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</w:tbl>
    <w:p>
      <w:pPr>
        <w:pStyle w:val="10"/>
        <w:rPr>
          <w:rFonts w:hint="default"/>
        </w:rPr>
      </w:pPr>
    </w:p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3561B"/>
    <w:multiLevelType w:val="multilevel"/>
    <w:tmpl w:val="6D33561B"/>
    <w:lvl w:ilvl="0" w:tentative="0">
      <w:start w:val="1"/>
      <w:numFmt w:val="decimal"/>
      <w:suff w:val="nothing"/>
      <w:lvlText w:val="第%1章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isLgl/>
      <w:suff w:val="nothing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isLgl/>
      <w:suff w:val="nothing"/>
      <w:lvlText w:val="%1.%2.%3"/>
      <w:lvlJc w:val="left"/>
      <w:pPr>
        <w:ind w:left="189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"/>
      <w:lvlJc w:val="left"/>
      <w:pPr>
        <w:ind w:left="5304" w:firstLine="0"/>
      </w:pPr>
      <w:rPr>
        <w:rFonts w:hint="eastAsia"/>
      </w:rPr>
    </w:lvl>
    <w:lvl w:ilvl="4" w:tentative="0">
      <w:start w:val="1"/>
      <w:numFmt w:val="none"/>
      <w:suff w:val="nothing"/>
      <w:lvlText w:val="表%1.%2-%3  "/>
      <w:lvlJc w:val="left"/>
      <w:pPr>
        <w:tabs>
          <w:tab w:val="left" w:pos="0"/>
        </w:tabs>
        <w:ind w:left="1075" w:firstLine="0"/>
      </w:pPr>
      <w:rPr>
        <w:rFonts w:hint="default" w:ascii="宋体" w:hAnsi="宋体" w:eastAsia="宋体" w:cs="宋体"/>
      </w:rPr>
    </w:lvl>
    <w:lvl w:ilvl="5" w:tentative="0">
      <w:start w:val="1"/>
      <w:numFmt w:val="decimal"/>
      <w:isLgl/>
      <w:suff w:val="nothing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nothing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nothing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nothing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AF9EEF"/>
    <w:rsid w:val="36BE5777"/>
    <w:rsid w:val="37BDEA3A"/>
    <w:rsid w:val="3D7F585F"/>
    <w:rsid w:val="4B9A0FEE"/>
    <w:rsid w:val="4EEF25FA"/>
    <w:rsid w:val="4EFFD4E5"/>
    <w:rsid w:val="5AFF0F33"/>
    <w:rsid w:val="5B7B5B20"/>
    <w:rsid w:val="5CD236E7"/>
    <w:rsid w:val="5D7A7DC0"/>
    <w:rsid w:val="5DDBC253"/>
    <w:rsid w:val="5EFF732D"/>
    <w:rsid w:val="5F070474"/>
    <w:rsid w:val="5F67F0F9"/>
    <w:rsid w:val="5FBBF5EF"/>
    <w:rsid w:val="677D1566"/>
    <w:rsid w:val="67F1862C"/>
    <w:rsid w:val="6D99E5DF"/>
    <w:rsid w:val="6DB7E07C"/>
    <w:rsid w:val="6EEB8198"/>
    <w:rsid w:val="6FB76FA1"/>
    <w:rsid w:val="6FDBD0BF"/>
    <w:rsid w:val="75EE77C5"/>
    <w:rsid w:val="767B03D4"/>
    <w:rsid w:val="7917F6EE"/>
    <w:rsid w:val="7ABF9F94"/>
    <w:rsid w:val="7D9788EA"/>
    <w:rsid w:val="7DBF527E"/>
    <w:rsid w:val="7DCFC15F"/>
    <w:rsid w:val="7EE46DE5"/>
    <w:rsid w:val="7FAB19BE"/>
    <w:rsid w:val="7FDDDADF"/>
    <w:rsid w:val="7FEB0399"/>
    <w:rsid w:val="7FFB7094"/>
    <w:rsid w:val="9FBB3D29"/>
    <w:rsid w:val="A7AD239A"/>
    <w:rsid w:val="AD7BD12D"/>
    <w:rsid w:val="B4FD1985"/>
    <w:rsid w:val="BABE9678"/>
    <w:rsid w:val="BBF90645"/>
    <w:rsid w:val="BF7916D1"/>
    <w:rsid w:val="BFD7F69A"/>
    <w:rsid w:val="CF7B76A8"/>
    <w:rsid w:val="D3DF9438"/>
    <w:rsid w:val="D3FC830A"/>
    <w:rsid w:val="D5FE5752"/>
    <w:rsid w:val="D7FDECA0"/>
    <w:rsid w:val="DFDF60E1"/>
    <w:rsid w:val="DFFFDFD4"/>
    <w:rsid w:val="E7FD8574"/>
    <w:rsid w:val="F3B3F998"/>
    <w:rsid w:val="F5F7D34B"/>
    <w:rsid w:val="F5FFCF33"/>
    <w:rsid w:val="F6FF23DA"/>
    <w:rsid w:val="FAAF9EEF"/>
    <w:rsid w:val="FDDF463C"/>
    <w:rsid w:val="FEFB849B"/>
    <w:rsid w:val="FEFF3E9C"/>
    <w:rsid w:val="FF1E8BD1"/>
    <w:rsid w:val="FF6F5191"/>
    <w:rsid w:val="FFFB1482"/>
    <w:rsid w:val="FFFF8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ind w:left="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widowControl/>
      <w:spacing w:after="120" w:line="360" w:lineRule="auto"/>
      <w:ind w:left="400" w:leftChars="200" w:hanging="200" w:hangingChars="200"/>
    </w:pPr>
    <w:rPr>
      <w:kern w:val="0"/>
      <w:sz w:val="24"/>
      <w:szCs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spacing w:after="120" w:line="240" w:lineRule="auto"/>
      <w:ind w:firstLine="420" w:firstLineChars="100"/>
      <w:jc w:val="both"/>
    </w:pPr>
    <w:rPr>
      <w:rFonts w:ascii="Times New Roman" w:eastAsia="宋体"/>
      <w:sz w:val="21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paragraph" w:customStyle="1" w:styleId="13">
    <w:name w:val="表格文字"/>
    <w:basedOn w:val="9"/>
    <w:next w:val="1"/>
    <w:qFormat/>
    <w:uiPriority w:val="0"/>
    <w:pPr>
      <w:wordWrap w:val="0"/>
      <w:adjustRightInd/>
      <w:snapToGrid/>
    </w:pPr>
    <w:rPr>
      <w:rFonts w:cstheme="minorBidi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2023-08-21T05:54:00Z</dcterms:created>
  <dc:creator>user</dc:creator>
  <cp:lastModifiedBy>user</cp:lastModifiedBy>
  <cp:lastPrinted>2025-10-27T15:14:57Z</cp:lastPrinted>
  <dcterms:modified xsi:type="dcterms:W3CDTF">2025-10-27T15:27:34Z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