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1" w:rightFromText="181" w:horzAnchor="margin" w:tblpX="1" w:tblpY="1"/>
        <w:tblOverlap w:val="never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6"/>
        <w:gridCol w:w="717"/>
        <w:gridCol w:w="642"/>
        <w:gridCol w:w="385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环境影响评价机构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主要环境影响及预防或者减轻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普光气田P108井台钻井及试采工程（重新报批）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四川达州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宣汉县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中国石油化工股份有限公司中原油田普光分公司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四川省众诚瀚蓝科技有限公司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ED7D31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项目位于达州市宣汉县，依托P108井场新建P108-3和P108-2H 2座勘探井，目的层位飞仙关组，井型为水平井，设计井深分别为6670m和5988m，设计水平段</w:t>
            </w:r>
            <w:r>
              <w:rPr>
                <w:rFonts w:hint="eastAsia" w:cs="Times New Roman"/>
                <w:kern w:val="0"/>
                <w:szCs w:val="20"/>
              </w:rPr>
              <w:t>长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分别为2352m和1670m，开展含硫天然气钻井及试采，试采配产规模均为20×10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vertAlign w:val="superscript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/d。</w:t>
            </w:r>
            <w:r>
              <w:rPr>
                <w:rFonts w:hint="eastAsia"/>
              </w:rPr>
              <w:t>工程建设内容主要分为钻前工程、钻井工程、储层改造工程（完井工程）、试采工程（场站工程）、地面集输工程</w:t>
            </w:r>
            <w:r>
              <w:rPr>
                <w:rFonts w:hint="eastAsia"/>
                <w:lang w:eastAsia="zh-CN"/>
              </w:rPr>
              <w:t>。钻前工程包括</w:t>
            </w:r>
            <w:r>
              <w:rPr>
                <w:rFonts w:hint="eastAsia"/>
              </w:rPr>
              <w:t>场地平整、设备基础施工、钻井设备安装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 w:cs="Times New Roman"/>
                <w:kern w:val="0"/>
                <w:szCs w:val="20"/>
              </w:rPr>
              <w:t>。钻井工程</w:t>
            </w:r>
            <w:r>
              <w:rPr>
                <w:rFonts w:hint="eastAsia"/>
              </w:rPr>
              <w:t>主要包括钻井</w:t>
            </w:r>
            <w:r>
              <w:rPr>
                <w:rFonts w:hint="eastAsia" w:cs="Times New Roman"/>
                <w:kern w:val="0"/>
                <w:szCs w:val="20"/>
                <w:lang w:eastAsia="zh-CN"/>
              </w:rPr>
              <w:t>（导管段采用水基钻井液体系钻井，一开、二开井段采用气体钻+水基钻井液体系钻井，三开井段采用水基钻井液体系+油基钻井液体系钻井）</w:t>
            </w:r>
            <w:r>
              <w:rPr>
                <w:rFonts w:hint="eastAsia"/>
              </w:rPr>
              <w:t>、钻进、钻进辅助作业、固井等过程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储层改造工程（完井工程）</w:t>
            </w:r>
            <w:r>
              <w:rPr>
                <w:rFonts w:hint="eastAsia"/>
                <w:lang w:eastAsia="zh-CN"/>
              </w:rPr>
              <w:t>包括</w:t>
            </w:r>
            <w:r>
              <w:rPr>
                <w:rFonts w:hint="eastAsia"/>
              </w:rPr>
              <w:t>洗井、射孔、压裂、下完井管注、采气树安装以及测试放喷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试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采工程（场站工程）包括新建井口流程，将P108-2H、P108-3井口来气经采气树节流、计量后接入P108集气站的酸气管道，依托P108集气站已有临时分酸、加热、节流流程，外输至11#阀室，由11#阀室接出P108集气站来气，T接至12#阀室旁的P103至P102集输管道，接入P102集气站，最终进入1#增压站进行增压。新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建11#阀室至12#阀室集输管线约340m，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管径φ168.3×（8.0+3）mm</w:t>
            </w: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设计压力11.0MPa</w:t>
            </w: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设计输量37×10</w:t>
            </w:r>
            <w:r>
              <w:rPr>
                <w:rFonts w:hint="default" w:ascii="Times New Roman" w:hAnsi="Times New Roman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Nm</w:t>
            </w:r>
            <w:r>
              <w:rPr>
                <w:rFonts w:hint="default" w:ascii="Times New Roman" w:hAnsi="Times New Roman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/d</w:t>
            </w:r>
            <w:r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套改造11#阀室、12#阀室。项目总投资19684.44万元，其中环保投资550万元。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1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一、钻前工程、钻井工程主要环境保护措施</w:t>
            </w:r>
          </w:p>
          <w:p>
            <w:pPr>
              <w:pStyle w:val="2"/>
              <w:keepNext/>
              <w:keepLines/>
              <w:widowControl w:val="0"/>
              <w:numPr>
                <w:ilvl w:val="2"/>
                <w:numId w:val="0"/>
              </w:numPr>
              <w:ind w:firstLine="420" w:firstLineChars="200"/>
              <w:jc w:val="both"/>
              <w:outlineLvl w:val="2"/>
              <w:rPr>
                <w:rFonts w:hint="default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1.生活污水经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移动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厕所收集处理后，用作周边农肥；员工洗澡、食堂废水单独收集后拉运至场镇污水处理厂处理；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初期雨水、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钻井废水经清洁化操作平台预处理后由罐车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运至毛开1井回注站回注；压裂返排液和洗井废水暂存于废水池，定期运至大湾403污水站处理达标后管输至毛开1井回</w:t>
            </w:r>
            <w:r>
              <w:rPr>
                <w:rFonts w:hint="default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注站回注。</w:t>
            </w:r>
          </w:p>
          <w:p>
            <w:pPr>
              <w:pStyle w:val="2"/>
              <w:keepNext/>
              <w:keepLines/>
              <w:widowControl w:val="0"/>
              <w:numPr>
                <w:ilvl w:val="2"/>
                <w:numId w:val="0"/>
              </w:numPr>
              <w:ind w:firstLine="420" w:firstLineChars="200"/>
              <w:jc w:val="both"/>
              <w:outlineLvl w:val="2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2.采用洒水降尘、遮盖、密闭运输等措施措施确保施工场地扬尘达标排放。测试放喷废气依托2座300m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放喷池燃烧排放。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合理布置施工现场，选用低噪声设备，采取基础减震、隔声措施，加强各类施工设备的维护和保养，控制和减小噪声对周边居民的影响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lang w:eastAsia="zh-CN"/>
              </w:rPr>
              <w:t>生活垃圾收集后，统一交环卫部门要求处置；</w:t>
            </w:r>
            <w:r>
              <w:rPr>
                <w:rFonts w:hint="default" w:ascii="Times New Roman" w:hAnsi="Times New Roman" w:cs="Times New Roman"/>
              </w:rPr>
              <w:t>废弃泥浆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废岩屑采用清洁化操作平台，并采取泥浆不落地措施</w:t>
            </w:r>
            <w:r>
              <w:rPr>
                <w:rFonts w:hint="eastAsia" w:ascii="Times New Roman" w:hAnsi="Times New Roman" w:cs="Times New Roman"/>
                <w:lang w:eastAsia="zh-CN"/>
              </w:rPr>
              <w:t>，空气钻岩屑、</w:t>
            </w:r>
            <w:r>
              <w:rPr>
                <w:rFonts w:hint="default" w:ascii="Times New Roman" w:hAnsi="Times New Roman" w:cs="Times New Roman"/>
              </w:rPr>
              <w:t>废水基泥浆、水基岩屑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交由有主体资格和技术能力的单位处置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</w:rPr>
              <w:t>废油基岩屑、废油基泥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eastAsia"/>
              </w:rPr>
              <w:t>废油、废油桶、废含油抹布及手套</w:t>
            </w:r>
            <w:r>
              <w:rPr>
                <w:rFonts w:hint="default" w:ascii="Times New Roman" w:hAnsi="Times New Roman" w:cs="Times New Roman"/>
              </w:rPr>
              <w:t>等危险废物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</w:rPr>
              <w:t>运</w:t>
            </w:r>
            <w:r>
              <w:rPr>
                <w:rFonts w:hint="eastAsia" w:ascii="Times New Roman" w:hAnsi="Times New Roman" w:cs="Times New Roman"/>
                <w:lang w:eastAsia="zh-CN"/>
              </w:rPr>
              <w:t>至</w:t>
            </w:r>
            <w:r>
              <w:rPr>
                <w:rFonts w:hint="default" w:ascii="Times New Roman" w:hAnsi="Times New Roman" w:cs="Times New Roman"/>
              </w:rPr>
              <w:t>普光净化厂危险废物暂存间暂存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定期交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资质单位转运处置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1" w:firstLineChars="200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、管线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施工期主要环境保护措施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采</w:t>
            </w:r>
            <w:r>
              <w:t>取定期洒水、设置临时围挡、堆土表面覆盖</w:t>
            </w:r>
            <w:r>
              <w:rPr>
                <w:rFonts w:hint="eastAsia"/>
                <w:lang w:eastAsia="zh-CN"/>
              </w:rPr>
              <w:t>、加强运输管理</w:t>
            </w:r>
            <w:r>
              <w:t>等措施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严格落实“六必须、六不准”管控要求，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确保施工场地扬尘达标排放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。</w:t>
            </w:r>
            <w:r>
              <w:rPr>
                <w:rFonts w:hint="eastAsia"/>
              </w:rPr>
              <w:t>生活污水依托周边农户现有生活污水处理设施处理</w:t>
            </w:r>
            <w:r>
              <w:rPr>
                <w:rFonts w:hint="eastAsia"/>
                <w:lang w:eastAsia="zh-CN"/>
              </w:rPr>
              <w:t>；</w:t>
            </w:r>
            <w:r>
              <w:t>清管废水（包含氮气扫水余水）经沉淀池沉淀后回用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优化管线路由以及工程布置，严格控制施工作业带，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要做好表土剥离和堆存保护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。</w:t>
            </w:r>
            <w:r>
              <w:t>施工机械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合理布局，合理安排施工时间，控制和减小噪声对周边居民的影响；施工废料（含清管废渣、焊接废渣等）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收集后分类处置，不能回收的清运至合规建筑垃圾处置场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；废防腐涂料包装物采用防腐涂料容器收集后，运至普光净化厂危废暂存间暂存，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定期交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有资质单位转运处置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；生活垃圾收集后统一运往当地环卫部门处理。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1" w:firstLineChars="20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运营期（试采期）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主要环境保护措施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1.水套加热炉废气依托P108集气站水套炉，采用低氮燃烧后通过自带的8m高排气筒排放；</w:t>
            </w:r>
            <w:r>
              <w:rPr>
                <w:spacing w:val="-3"/>
              </w:rPr>
              <w:t>系统超压、设备检修</w:t>
            </w:r>
            <w:r>
              <w:rPr>
                <w:rFonts w:hint="eastAsia"/>
                <w:spacing w:val="-3"/>
              </w:rPr>
              <w:t>废气和</w:t>
            </w:r>
            <w:r>
              <w:rPr>
                <w:spacing w:val="-3"/>
              </w:rPr>
              <w:t>事故放空废气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通过站场内60m放空火炬燃烧排放；安装可燃气体和有毒有害气体泄漏报警装置，定期对各设备或管线组件进行维护保养并泄漏检查，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zh-TW" w:eastAsia="zh-CN" w:bidi="ar"/>
              </w:rPr>
              <w:t>减少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zh-TW" w:eastAsia="zh-CN" w:bidi="ar"/>
              </w:rPr>
              <w:t>和控制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Cs w:val="24"/>
                <w:lang w:val="zh-TW" w:eastAsia="zh-CN" w:bidi="ar"/>
                <w14:textFill>
                  <w14:solidFill>
                    <w14:schemeClr w14:val="tx1"/>
                  </w14:solidFill>
                </w14:textFill>
              </w:rPr>
              <w:t>挥发性有机物的排放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zh-TW" w:eastAsia="zh-CN" w:bidi="ar"/>
                <w14:textFill>
                  <w14:solidFill>
                    <w14:schemeClr w14:val="tx1"/>
                  </w14:solidFill>
                </w14:textFill>
              </w:rPr>
              <w:t>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2.气田采出水、检修废水暂存酸液缓冲罐内，火炬分液废水依托P108集气站火炬分液罐暂存，定期通过密闭罐车拉运至大湾403污水处理站处理后回注。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检修废渣收集后送普光净化厂固废暂存间暂存，定期交由有主体资格和技术能力的单位处置。废油、废油桶及含油抹布手套等危险废物，转运至普光天然气净化厂内危险废物仓库暂存，定期交由有资质单位转运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4.站场设置清污分流系统，采取分区防渗措施，对酸液缓冲罐区、火炬分液罐区、井口等区域进行重点防渗，对罐区周围设置围堰。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设置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地下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土壤跟踪监测点，对土壤环境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地下水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进行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定期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监控，异常时立刻采取有效措施。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5.采取合理布局，选用低噪声设备和工艺，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安装减震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，绿化隔声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等措施，同时加强各类设备的维护和保养，合理安排运输车辆的行走路线和行走时间，控制和减小噪声对周围居民等声环境敏感点的影响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退役期环境保护措施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气井规范进行封井作业。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清理时采取降尘措施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设施拆除、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清理等产生的废弃管道和设备、建筑垃圾等收集并合理处置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及时进行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迹地生态恢复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主要环境风险防范措施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完善的放散系统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安全截断系统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可燃气体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和有毒气体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报警系统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，对罐区采取重点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防渗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设置围堰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运输管理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合理规划运输路线，加强设备管线巡检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，制定相应的突发环境事件应急预案并定期演练等环境风险防范措施，控制和降低环境风险。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公众参与情况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建设单位按照《环境影响评价公众参与办法》要求，通过网上公示、登报公示、张贴公告等形式对环评信息进行了公开，征求公众意见，在信息公开期间，未收到反对意见。</w:t>
            </w:r>
          </w:p>
        </w:tc>
      </w:tr>
    </w:tbl>
    <w:p>
      <w:pPr>
        <w:pStyle w:val="10"/>
        <w:rPr>
          <w:rFonts w:hint="default"/>
        </w:rPr>
      </w:pPr>
    </w:p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3561B"/>
    <w:multiLevelType w:val="multilevel"/>
    <w:tmpl w:val="6D33561B"/>
    <w:lvl w:ilvl="0" w:tentative="0">
      <w:start w:val="1"/>
      <w:numFmt w:val="decimal"/>
      <w:suff w:val="nothing"/>
      <w:lvlText w:val="第%1章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isLgl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nothing"/>
      <w:lvlText w:val="%1.%2.%3"/>
      <w:lvlJc w:val="left"/>
      <w:pPr>
        <w:ind w:left="189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5304" w:firstLine="0"/>
      </w:pPr>
      <w:rPr>
        <w:rFonts w:hint="eastAsia"/>
      </w:rPr>
    </w:lvl>
    <w:lvl w:ilvl="4" w:tentative="0">
      <w:start w:val="1"/>
      <w:numFmt w:val="none"/>
      <w:suff w:val="nothing"/>
      <w:lvlText w:val="表%1.%2-%3  "/>
      <w:lvlJc w:val="left"/>
      <w:pPr>
        <w:tabs>
          <w:tab w:val="left" w:pos="0"/>
        </w:tabs>
        <w:ind w:left="1075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F9EEF"/>
    <w:rsid w:val="22BF2BC6"/>
    <w:rsid w:val="2AFF0633"/>
    <w:rsid w:val="36BE5777"/>
    <w:rsid w:val="37BDEA3A"/>
    <w:rsid w:val="3D7F585F"/>
    <w:rsid w:val="4B9A0FEE"/>
    <w:rsid w:val="4EEF25FA"/>
    <w:rsid w:val="4EFFD4E5"/>
    <w:rsid w:val="51951A76"/>
    <w:rsid w:val="5AFF0F33"/>
    <w:rsid w:val="5B7B5B20"/>
    <w:rsid w:val="5CD236E7"/>
    <w:rsid w:val="5CFD1B4A"/>
    <w:rsid w:val="5D7A7DC0"/>
    <w:rsid w:val="5DDBC253"/>
    <w:rsid w:val="5EFF732D"/>
    <w:rsid w:val="5F070474"/>
    <w:rsid w:val="5F67F0F9"/>
    <w:rsid w:val="5FBBF5EF"/>
    <w:rsid w:val="5FBDE714"/>
    <w:rsid w:val="677D1566"/>
    <w:rsid w:val="67F1862C"/>
    <w:rsid w:val="6D99E5DF"/>
    <w:rsid w:val="6DB7E07C"/>
    <w:rsid w:val="6EEB8198"/>
    <w:rsid w:val="6FB76FA1"/>
    <w:rsid w:val="6FDBD0BF"/>
    <w:rsid w:val="73DDA26A"/>
    <w:rsid w:val="75ABD699"/>
    <w:rsid w:val="75EE77C5"/>
    <w:rsid w:val="767B03D4"/>
    <w:rsid w:val="7917F6EE"/>
    <w:rsid w:val="7ABF9F94"/>
    <w:rsid w:val="7D9788EA"/>
    <w:rsid w:val="7DBF527E"/>
    <w:rsid w:val="7DCFC15F"/>
    <w:rsid w:val="7F470490"/>
    <w:rsid w:val="7FAB19BE"/>
    <w:rsid w:val="7FBF12BB"/>
    <w:rsid w:val="7FD398DE"/>
    <w:rsid w:val="7FDDDADF"/>
    <w:rsid w:val="7FEB0399"/>
    <w:rsid w:val="7FFB7094"/>
    <w:rsid w:val="943F424E"/>
    <w:rsid w:val="9FBB3D29"/>
    <w:rsid w:val="A7AD239A"/>
    <w:rsid w:val="AD7BD12D"/>
    <w:rsid w:val="B4FD1985"/>
    <w:rsid w:val="BABE9678"/>
    <w:rsid w:val="BBF90645"/>
    <w:rsid w:val="BF7916D1"/>
    <w:rsid w:val="BFD7F69A"/>
    <w:rsid w:val="CF7B76A8"/>
    <w:rsid w:val="D3DF9438"/>
    <w:rsid w:val="D3FC830A"/>
    <w:rsid w:val="D5FE5752"/>
    <w:rsid w:val="D7FDECA0"/>
    <w:rsid w:val="DFDF60E1"/>
    <w:rsid w:val="DFFFDFD4"/>
    <w:rsid w:val="E7FD8574"/>
    <w:rsid w:val="E9FEC178"/>
    <w:rsid w:val="EDB387BD"/>
    <w:rsid w:val="F3B3F998"/>
    <w:rsid w:val="F5F7D34B"/>
    <w:rsid w:val="F5FFCF33"/>
    <w:rsid w:val="F6FF23DA"/>
    <w:rsid w:val="FAAF9EEF"/>
    <w:rsid w:val="FDDF463C"/>
    <w:rsid w:val="FEFB849B"/>
    <w:rsid w:val="FEFF3E9C"/>
    <w:rsid w:val="FF1E8BD1"/>
    <w:rsid w:val="FF6F5191"/>
    <w:rsid w:val="FFFB1482"/>
    <w:rsid w:val="FFFD29BC"/>
    <w:rsid w:val="FFFF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120" w:line="360" w:lineRule="auto"/>
      <w:ind w:left="400" w:leftChars="200" w:hanging="200" w:hangingChars="200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3">
    <w:name w:val="表格文字"/>
    <w:basedOn w:val="9"/>
    <w:next w:val="1"/>
    <w:qFormat/>
    <w:uiPriority w:val="0"/>
    <w:pPr>
      <w:wordWrap w:val="0"/>
      <w:adjustRightInd/>
      <w:snapToGrid/>
    </w:pPr>
    <w:rPr>
      <w:rFonts w:cstheme="minorBidi"/>
      <w:kern w:val="2"/>
      <w:sz w:val="18"/>
    </w:rPr>
  </w:style>
  <w:style w:type="paragraph" w:customStyle="1" w:styleId="14">
    <w:name w:val="正文四号"/>
    <w:basedOn w:val="1"/>
    <w:qFormat/>
    <w:uiPriority w:val="0"/>
    <w:pPr>
      <w:spacing w:line="360" w:lineRule="auto"/>
      <w:ind w:firstLine="200" w:firstLineChars="200"/>
    </w:pPr>
    <w:rPr>
      <w:rFonts w:eastAsia="宋体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2023-08-24T13:54:00Z</dcterms:created>
  <dc:creator>user</dc:creator>
  <cp:lastModifiedBy>user</cp:lastModifiedBy>
  <cp:lastPrinted>2025-11-27T11:06:33Z</cp:lastPrinted>
  <dcterms:modified xsi:type="dcterms:W3CDTF">2025-11-27T14:06:24Z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