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050"/>
        <w:gridCol w:w="1095"/>
        <w:gridCol w:w="1305"/>
        <w:gridCol w:w="1365"/>
        <w:gridCol w:w="2394"/>
        <w:gridCol w:w="7312"/>
      </w:tblGrid>
      <w:tr w14:paraId="6B6A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79E78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21EFC6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项目</w:t>
            </w:r>
            <w:r>
              <w:rPr>
                <w:rFonts w:hint="default" w:ascii="Times New Roman" w:hAnsi="Times New Roman" w:eastAsia="方正仿宋_GBK" w:cs="Times New Roman"/>
                <w:b/>
                <w:bCs/>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highlight w:val="none"/>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5DF92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建设</w:t>
            </w:r>
            <w:r>
              <w:rPr>
                <w:rFonts w:hint="default" w:ascii="Times New Roman" w:hAnsi="Times New Roman" w:eastAsia="方正仿宋_GBK" w:cs="Times New Roman"/>
                <w:b/>
                <w:bCs/>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highlight w:val="none"/>
                <w:u w:val="none"/>
                <w:lang w:val="en-US" w:eastAsia="zh-CN" w:bidi="ar"/>
              </w:rPr>
              <w:t>地点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建设</w:t>
            </w:r>
            <w:r>
              <w:rPr>
                <w:rFonts w:hint="default" w:ascii="Times New Roman" w:hAnsi="Times New Roman" w:eastAsia="方正仿宋_GBK" w:cs="Times New Roman"/>
                <w:b/>
                <w:bCs/>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highlight w:val="none"/>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7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环境影响</w:t>
            </w:r>
            <w:r>
              <w:rPr>
                <w:rFonts w:hint="default" w:ascii="Times New Roman" w:hAnsi="Times New Roman" w:eastAsia="方正仿宋_GBK" w:cs="Times New Roman"/>
                <w:b/>
                <w:bCs/>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highlight w:val="none"/>
                <w:u w:val="none"/>
                <w:lang w:val="en-US" w:eastAsia="zh-CN" w:bidi="ar"/>
              </w:rPr>
              <w:t>评价机构</w:t>
            </w:r>
          </w:p>
        </w:tc>
        <w:tc>
          <w:tcPr>
            <w:tcW w:w="239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78833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项目概况</w:t>
            </w:r>
          </w:p>
        </w:tc>
        <w:tc>
          <w:tcPr>
            <w:tcW w:w="7312"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460ED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主要环境影响及预防或者减轻</w:t>
            </w:r>
            <w:r>
              <w:rPr>
                <w:rFonts w:hint="default" w:ascii="Times New Roman" w:hAnsi="Times New Roman" w:eastAsia="方正仿宋_GBK" w:cs="Times New Roman"/>
                <w:b/>
                <w:bCs/>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highlight w:val="none"/>
                <w:u w:val="none"/>
                <w:lang w:val="en-US" w:eastAsia="zh-CN" w:bidi="ar"/>
              </w:rPr>
              <w:t>不良环境影响的对策和措施</w:t>
            </w:r>
          </w:p>
        </w:tc>
      </w:tr>
      <w:tr w14:paraId="168C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733F25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eastAsia" w:ascii="Times New Roman" w:hAnsi="Times New Roman" w:eastAsia="方正仿宋_GBK" w:cs="Times New Roman"/>
                <w:b w:val="0"/>
                <w:bCs w:val="0"/>
                <w:i w:val="0"/>
                <w:iCs w:val="0"/>
                <w:color w:val="000000"/>
                <w:kern w:val="0"/>
                <w:sz w:val="24"/>
                <w:szCs w:val="24"/>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1CF352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达州东部经开区2024年年产20万套智慧灯具及配套新建项目</w:t>
            </w:r>
          </w:p>
        </w:tc>
        <w:tc>
          <w:tcPr>
            <w:tcW w:w="1095"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1BC807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四川达州东部经济开发区智能制造产业园4#-07一层厂房</w:t>
            </w:r>
          </w:p>
        </w:tc>
        <w:tc>
          <w:tcPr>
            <w:tcW w:w="1305"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1264FB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四川华创恒辉智能科技有限公司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6BC060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四川谱识检测技术有限公司</w:t>
            </w:r>
          </w:p>
        </w:tc>
        <w:tc>
          <w:tcPr>
            <w:tcW w:w="2394"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230C7AD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该项目购置激光切割机、折弯机、焊机、静电喷塑机和烘干固化等设备，外购钢管、钢卷、钢板和各类配件等进行切割、折弯、焊接、喷塑、烘干和组装，年产15万套智慧节能灯具和各类路灯杆5万套。项目租赁达州东部经开区麻柳智造城园区智能制造产业园4#-07一层厂房，占地约4000m2,总投资5000万元（其中：环保投资44.7万元）。</w:t>
            </w:r>
          </w:p>
        </w:tc>
        <w:tc>
          <w:tcPr>
            <w:tcW w:w="7312" w:type="dxa"/>
            <w:tcBorders>
              <w:top w:val="single" w:color="000000" w:sz="4" w:space="0"/>
              <w:left w:val="single" w:color="000000" w:sz="4" w:space="0"/>
              <w:bottom w:val="single" w:color="000000" w:sz="4" w:space="0"/>
              <w:right w:val="single" w:color="000000" w:sz="4" w:space="0"/>
            </w:tcBorders>
            <w:shd w:val="clear" w:color="auto" w:fill="CFE8CB"/>
            <w:vAlign w:val="center"/>
          </w:tcPr>
          <w:p w14:paraId="23391CE4">
            <w:pPr>
              <w:keepNext w:val="0"/>
              <w:keepLines w:val="0"/>
              <w:pageBreakBefore w:val="0"/>
              <w:widowControl/>
              <w:suppressLineNumbers w:val="0"/>
              <w:kinsoku/>
              <w:wordWrap/>
              <w:overflowPunct/>
              <w:topLinePunct w:val="0"/>
              <w:autoSpaceDE/>
              <w:autoSpaceDN/>
              <w:bidi w:val="0"/>
              <w:adjustRightInd/>
              <w:snapToGrid/>
              <w:spacing w:line="400" w:lineRule="exact"/>
              <w:ind w:left="479" w:leftChars="228"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一、施工期环境保护措施</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1、废气</w:t>
            </w:r>
          </w:p>
          <w:p w14:paraId="5E16D9E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施工期废气主要来自钻孔等施工过程、厂房清扫、设备运输及设备安装过程产生的扬尘，采取洒水降尘、定期清扫地面灰尘等措施。</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2、废水</w:t>
            </w:r>
          </w:p>
          <w:p w14:paraId="06E7442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施工期废水主要为生活污水，依托智能制造产业园已建配套预处理池处理后经园区管网排入麻柳工业污水处理厂处理后排放。</w:t>
            </w:r>
            <w:bookmarkStart w:id="0" w:name="_GoBack"/>
            <w:bookmarkEnd w:id="0"/>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3、噪声</w:t>
            </w:r>
          </w:p>
          <w:p w14:paraId="1E2360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优化施工场地布置，选用低噪声施工机械设备；合理安排施工时间，文明施工，装卸、搬运材料等严禁抛掷，做到轻拿轻放；合理安排施工车辆运输路线与时间，运输车辆实施限速、禁止鸣笛。</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4、固体废物</w:t>
            </w:r>
          </w:p>
          <w:p w14:paraId="76EAF33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施工期产生的废装修材料分类收集后统一外售至废品回收站处置；生活垃圾集中收集后交当地环卫部门处置。</w:t>
            </w:r>
          </w:p>
          <w:p w14:paraId="021FB1DF">
            <w:pPr>
              <w:keepNext w:val="0"/>
              <w:keepLines w:val="0"/>
              <w:pageBreakBefore w:val="0"/>
              <w:widowControl/>
              <w:suppressLineNumbers w:val="0"/>
              <w:kinsoku/>
              <w:wordWrap/>
              <w:overflowPunct/>
              <w:topLinePunct w:val="0"/>
              <w:autoSpaceDE/>
              <w:autoSpaceDN/>
              <w:bidi w:val="0"/>
              <w:adjustRightInd/>
              <w:snapToGrid/>
              <w:spacing w:line="400" w:lineRule="exact"/>
              <w:ind w:left="479" w:leftChars="228" w:firstLine="0" w:firstLineChars="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二、运营期环境保护措施</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1、废气</w:t>
            </w:r>
          </w:p>
          <w:p w14:paraId="674690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激光切割烟尘由激光切割机设备侧面自带下抽式集气廊道抽入设备配套滤筒除尘器处理后经24m排气筒（DA001）排放；焊接烟尘经移动焊接烟尘净化器处理后在车间无组织排放；厂房采取封闭措施并单独设置打磨区，金属打磨粉尘（金属屑）在厂房中自然沉降；喷塑粉尘由侧吸集气罩收集至“一级塑粉回收装置+滤筒除尘器”处理后经24m排气筒（DA001）排放；采用天然气燃烧产生的热烟气直接接触工件烘干，烘干时关闭烘干房大门，在烘干房大门上方设置集气罩，烘干固化挥发性有机物和天然气燃烧废气由集气罩收集至“换热器+两级活性炭吸附装置”处理后经24m排气筒（DA002）排放。</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2、废水</w:t>
            </w:r>
          </w:p>
          <w:p w14:paraId="0563272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运营期废水主要为生活污水，依托智能制造产业园已建配套预处理池处理后经园区管网排入麻柳工业污水处理厂处理后达标排放。</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3、噪声</w:t>
            </w:r>
          </w:p>
          <w:p w14:paraId="5D1726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优化车间设备布局，选用低噪声设备，加强对设备进行维护和保养，设备采取基础减震、加装隔声罩等措施。</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4、固体废物</w:t>
            </w:r>
          </w:p>
          <w:p w14:paraId="671C58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废金属边角料、废焊条、金属屑、废砂轮片、废包装材料、不合格品、除尘灰、废滤筒等一般固废暂存一般固废暂存间，定期外售废品回收站处置；回收塑粉收集后回用于喷塑工序；废活性炭、含油废劳保用品、废矿物油、废矿物油桶等危险废物分类收集后暂存于危废暂存间，定期交由有资质单位处置；生活垃圾委托环卫部门清运处置。</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5、地下水环境</w:t>
            </w:r>
          </w:p>
          <w:p w14:paraId="7802D58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严格按照要求落实分区防渗措施。对危废暂存间进行重点防渗；对原材料堆放区、库房、配件暂存区、成品堆放区、半成品库房、一般固废暂存间、灯杆生产区、半成品暂存区、灯具组装区等进行一般防渗；其他区域采取简单防渗。</w:t>
            </w:r>
          </w:p>
          <w:p w14:paraId="27F7784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三、环境风险</w:t>
            </w:r>
          </w:p>
          <w:p w14:paraId="5EE8438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规范设置危废暂存间警示标识，液态危废暂存容器下方设置防渗托盘，并设置空桶作为备用收容设施；废气处理系统专人维护并定期检修；制定完善应急预案并定期进行应急演练，强化人员安全意识和技能培训，认真落实安全环保、消防措施及风险防范、管理措施。</w:t>
            </w:r>
          </w:p>
          <w:p w14:paraId="13B88A6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四、其他部门意见</w:t>
            </w:r>
          </w:p>
          <w:p w14:paraId="5278DAA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2024年12月6日四川达州东部经济开发区政务服务管理局对该项目进行了立项备案（备案号：川投资备〔2412-511715-04-01-603955〕FGQB-0291号）</w:t>
            </w:r>
          </w:p>
        </w:tc>
      </w:tr>
    </w:tbl>
    <w:p w14:paraId="559C9981"/>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1615C"/>
    <w:rsid w:val="0C1A784C"/>
    <w:rsid w:val="0E566872"/>
    <w:rsid w:val="10D34B99"/>
    <w:rsid w:val="152F4368"/>
    <w:rsid w:val="1C8B27CB"/>
    <w:rsid w:val="1E2B10AE"/>
    <w:rsid w:val="2ADB2B70"/>
    <w:rsid w:val="2C6B57F0"/>
    <w:rsid w:val="2F897F41"/>
    <w:rsid w:val="341B0CE9"/>
    <w:rsid w:val="354E7211"/>
    <w:rsid w:val="41055DF9"/>
    <w:rsid w:val="414768CE"/>
    <w:rsid w:val="417F2AFA"/>
    <w:rsid w:val="41B415CD"/>
    <w:rsid w:val="455A0E09"/>
    <w:rsid w:val="45ED5100"/>
    <w:rsid w:val="49D02FE5"/>
    <w:rsid w:val="5B7C5158"/>
    <w:rsid w:val="635D341B"/>
    <w:rsid w:val="6B4B0F22"/>
    <w:rsid w:val="6F8F2DE5"/>
    <w:rsid w:val="762F6E99"/>
    <w:rsid w:val="7B696F09"/>
    <w:rsid w:val="7C51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ascii="Calibri" w:hAnsi="Calibri" w:eastAsia="方正小标宋_GBK"/>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78" w:lineRule="exact"/>
      <w:jc w:val="left"/>
      <w:outlineLvl w:val="1"/>
    </w:pPr>
    <w:rPr>
      <w:rFonts w:ascii="Arial" w:hAnsi="Arial" w:eastAsia="方正黑体_GBK"/>
      <w:sz w:val="32"/>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16"/>
      <w:szCs w:val="16"/>
      <w:u w:val="none"/>
    </w:rPr>
  </w:style>
  <w:style w:type="character" w:customStyle="1" w:styleId="8">
    <w:name w:val="font11"/>
    <w:basedOn w:val="6"/>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1470</Characters>
  <Lines>0</Lines>
  <Paragraphs>0</Paragraphs>
  <TotalTime>5</TotalTime>
  <ScaleCrop>false</ScaleCrop>
  <LinksUpToDate>false</LinksUpToDate>
  <CharactersWithSpaces>1498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2025-01-14T06:21:00Z</dcterms:created>
  <dc:creator></dc:creator>
  <cp:lastModifiedBy></cp:lastModifiedBy>
  <cp:lastPrinted>2025-05-23T04:53:38Z</cp:lastPrinted>
  <dcterms:modified xsi:type="dcterms:W3CDTF">2025-05-23T05:04:03Z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9B82C5BC90D44A14A67EFB3D9658C600_13</vt:lpwstr>
  </property>
  <property fmtid="{D5CDD505-2E9C-101B-9397-08002B2CF9AE}" pid="4" name="KSOTemplateDocerSaveRecord">
    <vt:lpwstr>eyJoZGlkIjoiNTk3YmQyMzM4NzI5NDc5YjgxZTc1ZDllYWFkMDdjMDgiLCJ1c2VySWQiOiI0Mzg1Mjk5ODEifQ==</vt:lpwstr>
  </property>
</Properties>
</file>