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bookmarkStart w:id="0" w:name="_GoBack"/>
      <w:bookmarkEnd w:id="0"/>
    </w:p>
    <w:tbl>
      <w:tblPr>
        <w:tblStyle w:val="11"/>
        <w:tblpPr w:leftFromText="181" w:rightFromText="181" w:horzAnchor="margin" w:tblpX="1" w:tblpY="1"/>
        <w:tblOverlap w:val="never"/>
        <w:tblW w:w="14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716"/>
        <w:gridCol w:w="717"/>
        <w:gridCol w:w="642"/>
        <w:gridCol w:w="3856"/>
        <w:gridCol w:w="7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建设地点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建设单位</w:t>
            </w: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环境影响评价机构</w:t>
            </w:r>
          </w:p>
        </w:tc>
        <w:tc>
          <w:tcPr>
            <w:tcW w:w="3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项目概况</w:t>
            </w:r>
          </w:p>
        </w:tc>
        <w:tc>
          <w:tcPr>
            <w:tcW w:w="7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主要环境影响及预防或者减轻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不良环境影响的对策和措施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普光气田大湾4011-4H井钻井及试采工程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四川达州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宣汉县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中国石油化工股份有限公司中原油田普光分公司</w:t>
            </w: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四川省众诚瀚蓝科技有限公司</w:t>
            </w:r>
          </w:p>
        </w:tc>
        <w:tc>
          <w:tcPr>
            <w:tcW w:w="3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项目位于达州市宣汉县毛坝镇堰口村，依托大湾4011井场，新建大湾 4011-4H井1座，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目的层位长兴组，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  <w:t>井型为水平井，设计井深垂深5529.09m、斜深7102.80m，水平段821.6m，开展含硫天然气钻井及试采，设计配产15×10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vertAlign w:val="superscript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  <w:t>/d。</w:t>
            </w:r>
            <w:r>
              <w:rPr>
                <w:rFonts w:hint="eastAsia"/>
              </w:rPr>
              <w:t>建设内容主要分为钻前工程、钻井工程、</w:t>
            </w:r>
            <w:r>
              <w:rPr>
                <w:rFonts w:hint="eastAsia"/>
                <w:lang w:eastAsia="zh-CN"/>
              </w:rPr>
              <w:t>完井</w:t>
            </w:r>
            <w:r>
              <w:rPr>
                <w:rFonts w:hint="eastAsia"/>
              </w:rPr>
              <w:t>工程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地面工程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地面集输工程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20" w:firstLineChars="200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钻前工程主要包括新建方井1座，配套建设井架、循环罐、泵房、机房等基础，并对主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、副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放喷池进行防渗改造。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20" w:firstLineChars="200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钻井工程主要包括钻井、钻进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固井等过程。钻井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采用“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导管+三开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”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井身结构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，一开采用氯化钾-聚合物钻井液体系钻井，二开采用氯化钾聚合物防塌钻井液/欠饱和盐水钻井，三开采用氯化钾聚合物润滑封堵防塌钻井液钻井。设置1套泥浆循环系统，由振动筛、离心机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循环罐等设备组成。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20" w:firstLineChars="200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完井工程主要包括洗井、下完井管柱、射孔、压裂酸化、安装采气树、测试放喷等过程。压裂采用分段压裂酸化改造，改造液体包括前置酸、清洁酸和耐酸滑溜水，配备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u w:val="none"/>
                <w:lang w:val="en-US" w:eastAsia="zh-CN" w:bidi="ar-SA"/>
              </w:rPr>
              <w:t>压裂泵车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u w:val="none"/>
                <w:lang w:val="en-US" w:eastAsia="zh-CN" w:bidi="ar-SA"/>
              </w:rPr>
              <w:t>（13台）、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u w:val="none"/>
                <w:lang w:val="en-US" w:eastAsia="zh-CN" w:bidi="ar-SA"/>
              </w:rPr>
              <w:t>撬装酸泵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u w:val="none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u w:val="none"/>
                <w:lang w:val="en-US" w:eastAsia="zh-CN" w:bidi="ar-SA"/>
              </w:rPr>
              <w:t>灌注泵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u w:val="none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u w:val="none"/>
                <w:lang w:val="en-US" w:eastAsia="zh-CN" w:bidi="ar-SA"/>
              </w:rPr>
              <w:t>酸罐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等设施设备。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20" w:firstLineChars="200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地面集数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工程。井口天然气经采气树节流阀节流后进入大湾4011-3井已建地面工艺流程，同大湾4011-2井产气汇合后经分离器进行气液分离、计量后，依托现有已建集输管道进行输送。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20" w:firstLineChars="200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 w:bidi="ar"/>
              </w:rPr>
              <w:t>地面工程包括新建井口、乙二醇加注流程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新建1条50m</w:t>
            </w:r>
            <w:r>
              <w:rPr>
                <w:rFonts w:hint="eastAsia"/>
                <w:lang w:val="en-US" w:eastAsia="zh-CN"/>
              </w:rPr>
              <w:t>场内燃料气管线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（型号Φ60.3×4.5）和1条90m</w:t>
            </w:r>
            <w:r>
              <w:rPr>
                <w:rFonts w:hint="eastAsia"/>
                <w:lang w:val="en-US" w:eastAsia="zh-CN"/>
              </w:rPr>
              <w:t>场内采气管线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（型号Φ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114.3×8.56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），沿现有试采站进行地面铺设。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ED7D31" w:themeColor="accent2"/>
                <w:sz w:val="21"/>
                <w:szCs w:val="21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本项目总投资9932.44万元，其中环保投资474万元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  <w:tc>
          <w:tcPr>
            <w:tcW w:w="7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21" w:firstLineChars="200"/>
              <w:textAlignment w:val="auto"/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一、钻前工程主要环境保护措施</w:t>
            </w:r>
          </w:p>
          <w:p>
            <w:pPr>
              <w:pStyle w:val="2"/>
              <w:keepNext/>
              <w:keepLines/>
              <w:widowControl w:val="0"/>
              <w:numPr>
                <w:ilvl w:val="2"/>
                <w:numId w:val="0"/>
              </w:numPr>
              <w:ind w:firstLine="420" w:firstLineChars="200"/>
              <w:jc w:val="both"/>
              <w:outlineLvl w:val="2"/>
              <w:rPr>
                <w:rFonts w:hint="default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生活污水利用农户现有设施进行收集处置；施工废水经隔油沉淀处理后回用。生活垃圾</w:t>
            </w:r>
            <w:r>
              <w:rPr>
                <w:rFonts w:hint="default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收集后交由当地环卫部</w:t>
            </w:r>
            <w:r>
              <w:rPr>
                <w:rFonts w:hint="default" w:cs="Times New Roman" w:eastAsiaTheme="minorEastAsia"/>
                <w:b w:val="0"/>
                <w:bCs w:val="0"/>
                <w:kern w:val="2"/>
                <w:sz w:val="21"/>
                <w:szCs w:val="24"/>
                <w:u w:val="none"/>
                <w:lang w:val="en-US" w:eastAsia="zh-CN" w:bidi="ar-SA"/>
              </w:rPr>
              <w:t>门处置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废油收集后</w:t>
            </w:r>
            <w:r>
              <w:rPr>
                <w:rFonts w:hint="eastAsia" w:cs="Times New Roman" w:eastAsiaTheme="minorEastAsia"/>
                <w:b w:val="0"/>
                <w:bCs w:val="0"/>
                <w:kern w:val="2"/>
                <w:sz w:val="21"/>
                <w:szCs w:val="24"/>
                <w:u w:val="none"/>
                <w:lang w:val="en-US" w:eastAsia="zh-CN" w:bidi="ar-SA"/>
              </w:rPr>
              <w:t>，不在站内暂存，合规转运至普光天然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气净化厂内危险废物仓库暂存，定期交由有资质单位转运处置。通过优化施工布置</w:t>
            </w:r>
            <w:r>
              <w:rPr>
                <w:rFonts w:hint="eastAsia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设置围挡</w:t>
            </w:r>
            <w:r>
              <w:rPr>
                <w:rFonts w:hint="eastAsia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、移动声屏障，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酒</w:t>
            </w:r>
            <w:r>
              <w:rPr>
                <w:rFonts w:hint="eastAsia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水降尘，使用合格燃油，加强机械设备维修保养，合理安排施工时间，选用低噪声设备等措施，控制和减小施工扬尘、机械车辆尾气、噪声对周围环境的影响。</w:t>
            </w:r>
          </w:p>
          <w:p>
            <w:pPr>
              <w:pStyle w:val="2"/>
              <w:keepNext/>
              <w:keepLines/>
              <w:widowControl w:val="0"/>
              <w:numPr>
                <w:ilvl w:val="2"/>
                <w:numId w:val="0"/>
              </w:numPr>
              <w:ind w:firstLine="421" w:firstLineChars="200"/>
              <w:jc w:val="both"/>
              <w:outlineLvl w:val="2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、钻井工程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、完井工程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主要环境保护措施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1.优先采用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电网供电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，备用柴油机、发电机废</w:t>
            </w:r>
            <w:r>
              <w:rPr>
                <w:rFonts w:cs="Times New Roman"/>
              </w:rPr>
              <w:t>气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采用合格轻质柴油，燃烧废气经自带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排气筒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排放；事故放喷、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测试放喷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废气引至燃烧池进行燃烧排放；稀盐酸采用酸罐密封存储，控制和减少挥发性有机物排放。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2.钻井废水、初期雨水、方井雨水经固液分离后，上清液回用于泥浆制备，剩余废水由罐车拉运至赵家坝污水处理站处理后回注；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压裂返排液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洗井废水暂存于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污水池，定期由罐车拉运至赵家坝污水处理站处理后回注；生活污水收集后，定期转运至宣汉县毛坝镇生活污水处理厂处理。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3.废弃泥浆及岩屑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不落地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工艺处理后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暂存于岩屑堆放场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，定期交由有主体资格和技术能力的单位资源化利用；废包装材料收集后，定期运至废品回收站进行处理；生活垃圾收集后，交由当地环卫部门处置；废油、废油桶、废含油抹布及手套等危险废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物不在站内暂存，合规转运至普光天然气净化厂内危险废物仓库暂存，定期交由有资质单位转运处置；废防渗材料不在现场暂存，场地清理后直接交由有资质单位转运处置；沉淀罐、污水池沉渣收集后，定期交由有主体资格和技术能力的单位处置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优先使用网电，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采用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低噪声设备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，合理布局，合理安排作业时间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采取隔声、减震、消声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等措施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控制和减小噪声对周围居民等声环境敏感点的影响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.采取分区防渗措施，对方井、钻井基础区域、泥浆循环系统区域、设备区域、泥浆不落地系统区域、泥浆储备罐区、柴油储罐、污水罐区、发电机房等区域进行重点防渗，对泥浆循环系统、柴油储罐、泥浆不落地系统等区域设置围堰。</w:t>
            </w:r>
          </w:p>
          <w:p>
            <w:pPr>
              <w:pStyle w:val="2"/>
              <w:keepNext/>
              <w:keepLines/>
              <w:widowControl w:val="0"/>
              <w:numPr>
                <w:ilvl w:val="2"/>
                <w:numId w:val="0"/>
              </w:numPr>
              <w:ind w:firstLine="421" w:firstLineChars="200"/>
              <w:jc w:val="both"/>
              <w:outlineLvl w:val="2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三、地面工程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</w:rPr>
              <w:t>主要环境保护措施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试压废水经沉淀后回用于洒水降尘。废防腐材料收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后</w:t>
            </w:r>
            <w:r>
              <w:rPr>
                <w:rFonts w:hint="eastAsia" w:cs="Times New Roman" w:eastAsiaTheme="minorEastAsia"/>
                <w:b w:val="0"/>
                <w:bCs w:val="0"/>
                <w:kern w:val="2"/>
                <w:sz w:val="21"/>
                <w:szCs w:val="24"/>
                <w:u w:val="none"/>
                <w:lang w:val="en-US" w:eastAsia="zh-CN" w:bidi="ar-SA"/>
              </w:rPr>
              <w:t>，不在站内暂存，合规转运至普光天然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气净化厂内危险废物仓库暂存，定期交由有资质单位转运处置。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焊渣、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焊条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收集后定期运至废品回收站进行处理；清管废渣收集后，定期交由有主体资格和技术能力的单位处置。</w:t>
            </w:r>
          </w:p>
          <w:p>
            <w:pPr>
              <w:ind w:firstLine="421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运营期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主要环境保护措施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1.气田采出水、检修废水、放空分离液暂存污水罐，定期由罐车拉运至赵家坝污水处理站处理后回注。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2.依托大湾4011-3井水套加热炉，采用低氮燃烧，燃烧废气通过自带8m高排气筒排放；系统超压、设备检修废气和事故放空废气通过站场内98m高放空管火炬燃烧后排放。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除砂废渣、检修废渣、污水罐沉渣收集后定期交由有主体资格和技术能力的单位处置；废油、废机油桶、废含油抹布及手套等危险废物收集后，不在站内暂存，及时转运至普光天然气净化厂内危险废物仓库暂存，定期交由有资质单位转运处置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4.站场设置清污分流系统，采取分区防渗措施，对污水罐区等区域进行重点防渗，并设置围堰。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设置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土壤跟踪监测点，对土壤环境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和地下水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定期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监控，异常时立刻采取有效措施。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5.采取合理布局，选用低噪声设备和工艺，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安装减震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，绿化隔声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等措施，同时加强各类设备的维护和保养，合理安排运输车辆的行走路线和行走时间，控制和减小噪声对周围居民等声环境敏感点的影响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05"/>
              <w:jc w:val="both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五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退役期环境保护措施</w:t>
            </w:r>
          </w:p>
          <w:p>
            <w:pPr>
              <w:pStyle w:val="2"/>
              <w:keepNext/>
              <w:keepLines/>
              <w:widowControl w:val="0"/>
              <w:numPr>
                <w:ilvl w:val="2"/>
                <w:numId w:val="0"/>
              </w:numPr>
              <w:ind w:firstLine="420" w:firstLineChars="200"/>
              <w:jc w:val="both"/>
              <w:outlineLvl w:val="2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及时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对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气井规范进行封井作业。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井场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zh-CN" w:eastAsia="zh-CN"/>
              </w:rPr>
              <w:t>清理时采取降尘措施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zh-CN" w:eastAsia="zh-CN"/>
              </w:rPr>
              <w:t>设施拆除、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井场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zh-CN" w:eastAsia="zh-CN"/>
              </w:rPr>
              <w:t>清理等产生的废弃管道和设备、建筑垃圾等收集并合理处置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及时进行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迹地生态恢复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05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主要环境风险防范措施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选择合理的压井液、射孔方式、钻井方式，采取分区防渗，设置围堰，设置防喷器等井控装置，严格执行井控技术标准和规范；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配备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完善的放散系统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安全截断系统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可燃气体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和有毒气体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报警系统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加强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废水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运输管理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合理规划运输路线，加强设备管线巡检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，制定相应的突发环境事件应急预案并定期演练等环境风险防范措施，控制和降低环境风险。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05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七、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公众参与情况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建设单位按照《环境影响评价公众参与办法》要求，通过网上公示、登报公示、张贴公告等形式对环评信息进行了公开，征求公众意见，在信息公开期间，未收到反对意见。</w:t>
            </w:r>
          </w:p>
        </w:tc>
      </w:tr>
    </w:tbl>
    <w:p>
      <w:pPr>
        <w:rPr>
          <w:rFonts w:hint="default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33561B"/>
    <w:multiLevelType w:val="multilevel"/>
    <w:tmpl w:val="6D33561B"/>
    <w:lvl w:ilvl="0" w:tentative="0">
      <w:start w:val="1"/>
      <w:numFmt w:val="decimal"/>
      <w:suff w:val="nothing"/>
      <w:lvlText w:val="第%1章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isLgl/>
      <w:suff w:val="nothing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isLgl/>
      <w:suff w:val="nothing"/>
      <w:lvlText w:val="%1.%2.%3"/>
      <w:lvlJc w:val="left"/>
      <w:pPr>
        <w:ind w:left="1890" w:firstLine="0"/>
      </w:pPr>
      <w:rPr>
        <w:rFonts w:hint="eastAsia"/>
      </w:rPr>
    </w:lvl>
    <w:lvl w:ilvl="3" w:tentative="0">
      <w:start w:val="1"/>
      <w:numFmt w:val="decimal"/>
      <w:isLgl/>
      <w:suff w:val="nothing"/>
      <w:lvlText w:val="%1.%2.%3.%4"/>
      <w:lvlJc w:val="left"/>
      <w:pPr>
        <w:ind w:left="5304" w:firstLine="0"/>
      </w:pPr>
      <w:rPr>
        <w:rFonts w:hint="eastAsia"/>
      </w:rPr>
    </w:lvl>
    <w:lvl w:ilvl="4" w:tentative="0">
      <w:start w:val="1"/>
      <w:numFmt w:val="none"/>
      <w:suff w:val="nothing"/>
      <w:lvlText w:val="表%1.%2-%3  "/>
      <w:lvlJc w:val="left"/>
      <w:pPr>
        <w:tabs>
          <w:tab w:val="left" w:pos="0"/>
        </w:tabs>
        <w:ind w:left="1075" w:firstLine="0"/>
      </w:pPr>
      <w:rPr>
        <w:rFonts w:hint="default" w:ascii="宋体" w:hAnsi="宋体" w:eastAsia="宋体" w:cs="宋体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suff w:val="nothing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nothing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isLgl/>
      <w:suff w:val="nothing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AF9EEF"/>
    <w:rsid w:val="2AFF0633"/>
    <w:rsid w:val="36BE5777"/>
    <w:rsid w:val="37BDEA3A"/>
    <w:rsid w:val="3D7F585F"/>
    <w:rsid w:val="3F7B57B6"/>
    <w:rsid w:val="4B9A0FEE"/>
    <w:rsid w:val="4EEF25FA"/>
    <w:rsid w:val="4EFFD4E5"/>
    <w:rsid w:val="51951A76"/>
    <w:rsid w:val="5AFF0F33"/>
    <w:rsid w:val="5B7B5B20"/>
    <w:rsid w:val="5CD236E7"/>
    <w:rsid w:val="5CFD1B4A"/>
    <w:rsid w:val="5D7A7DC0"/>
    <w:rsid w:val="5DDBC253"/>
    <w:rsid w:val="5EFF732D"/>
    <w:rsid w:val="5F070474"/>
    <w:rsid w:val="5F67F0F9"/>
    <w:rsid w:val="5FBBF5EF"/>
    <w:rsid w:val="5FBDE714"/>
    <w:rsid w:val="677D1566"/>
    <w:rsid w:val="67F1862C"/>
    <w:rsid w:val="6D99E5DF"/>
    <w:rsid w:val="6DB7E07C"/>
    <w:rsid w:val="6EEB8198"/>
    <w:rsid w:val="6FB76FA1"/>
    <w:rsid w:val="6FDBD0BF"/>
    <w:rsid w:val="73DDA26A"/>
    <w:rsid w:val="73DEAABD"/>
    <w:rsid w:val="75ABD699"/>
    <w:rsid w:val="75EE77C5"/>
    <w:rsid w:val="767B03D4"/>
    <w:rsid w:val="7917F6EE"/>
    <w:rsid w:val="7ABF9F94"/>
    <w:rsid w:val="7B7BAA71"/>
    <w:rsid w:val="7D9788EA"/>
    <w:rsid w:val="7DBF527E"/>
    <w:rsid w:val="7DCFC15F"/>
    <w:rsid w:val="7F470490"/>
    <w:rsid w:val="7FAB19BE"/>
    <w:rsid w:val="7FBF12BB"/>
    <w:rsid w:val="7FD398DE"/>
    <w:rsid w:val="7FDDDADF"/>
    <w:rsid w:val="7FDF8CBF"/>
    <w:rsid w:val="7FEB0399"/>
    <w:rsid w:val="7FFB7094"/>
    <w:rsid w:val="943F424E"/>
    <w:rsid w:val="96671014"/>
    <w:rsid w:val="9FBB3D29"/>
    <w:rsid w:val="A7AD239A"/>
    <w:rsid w:val="AD7BD12D"/>
    <w:rsid w:val="B4FD1985"/>
    <w:rsid w:val="BA7B23C6"/>
    <w:rsid w:val="BABE9678"/>
    <w:rsid w:val="BBF90645"/>
    <w:rsid w:val="BCEF4C69"/>
    <w:rsid w:val="BF7916D1"/>
    <w:rsid w:val="BFD7F69A"/>
    <w:rsid w:val="CF7B76A8"/>
    <w:rsid w:val="D3DF9438"/>
    <w:rsid w:val="D3FC830A"/>
    <w:rsid w:val="D5FE5752"/>
    <w:rsid w:val="D7FDECA0"/>
    <w:rsid w:val="D9FF5EE4"/>
    <w:rsid w:val="DF7F40F8"/>
    <w:rsid w:val="DFDF60E1"/>
    <w:rsid w:val="DFFFDFD4"/>
    <w:rsid w:val="E3ADA756"/>
    <w:rsid w:val="E7FD8574"/>
    <w:rsid w:val="E9FEC178"/>
    <w:rsid w:val="EDB387BD"/>
    <w:rsid w:val="EEF71467"/>
    <w:rsid w:val="EFB7D31A"/>
    <w:rsid w:val="EFF510FF"/>
    <w:rsid w:val="F3B3F998"/>
    <w:rsid w:val="F3BF9112"/>
    <w:rsid w:val="F5F7D34B"/>
    <w:rsid w:val="F5FFCF33"/>
    <w:rsid w:val="F6FF23DA"/>
    <w:rsid w:val="FAAF9EEF"/>
    <w:rsid w:val="FDDF463C"/>
    <w:rsid w:val="FE734873"/>
    <w:rsid w:val="FEFB849B"/>
    <w:rsid w:val="FEFF3E9C"/>
    <w:rsid w:val="FF1E8BD1"/>
    <w:rsid w:val="FF6F5191"/>
    <w:rsid w:val="FFFB1482"/>
    <w:rsid w:val="FFFD29BC"/>
    <w:rsid w:val="FFFF8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able of figures"/>
    <w:basedOn w:val="1"/>
    <w:next w:val="1"/>
    <w:qFormat/>
    <w:uiPriority w:val="0"/>
    <w:pPr>
      <w:widowControl/>
      <w:spacing w:after="120" w:line="360" w:lineRule="auto"/>
      <w:ind w:left="400" w:leftChars="200" w:hanging="200" w:hangingChars="200"/>
    </w:pPr>
    <w:rPr>
      <w:kern w:val="0"/>
      <w:sz w:val="24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qFormat/>
    <w:uiPriority w:val="0"/>
    <w:pPr>
      <w:spacing w:after="120" w:line="240" w:lineRule="auto"/>
      <w:ind w:firstLine="420" w:firstLineChars="100"/>
      <w:jc w:val="both"/>
    </w:pPr>
    <w:rPr>
      <w:rFonts w:ascii="Times New Roman" w:eastAsia="宋体"/>
      <w:sz w:val="21"/>
    </w:rPr>
  </w:style>
  <w:style w:type="paragraph" w:styleId="10">
    <w:name w:val="Body Text First Indent 2"/>
    <w:basedOn w:val="4"/>
    <w:next w:val="1"/>
    <w:qFormat/>
    <w:uiPriority w:val="0"/>
    <w:pPr>
      <w:ind w:firstLine="420" w:firstLineChars="200"/>
    </w:pPr>
  </w:style>
  <w:style w:type="paragraph" w:customStyle="1" w:styleId="13">
    <w:name w:val="表格文字"/>
    <w:basedOn w:val="9"/>
    <w:next w:val="1"/>
    <w:qFormat/>
    <w:uiPriority w:val="0"/>
    <w:pPr>
      <w:wordWrap w:val="0"/>
      <w:adjustRightInd/>
      <w:snapToGrid/>
    </w:pPr>
    <w:rPr>
      <w:rFonts w:cstheme="minorBidi"/>
      <w:kern w:val="2"/>
      <w:sz w:val="18"/>
    </w:rPr>
  </w:style>
  <w:style w:type="paragraph" w:customStyle="1" w:styleId="14">
    <w:name w:val="正文四号"/>
    <w:basedOn w:val="1"/>
    <w:qFormat/>
    <w:uiPriority w:val="0"/>
    <w:pPr>
      <w:spacing w:line="360" w:lineRule="auto"/>
      <w:ind w:firstLine="200" w:firstLineChars="200"/>
    </w:pPr>
    <w:rPr>
      <w:rFonts w:eastAsia="宋体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2023-08-28T05:54:00Z</dcterms:created>
  <dc:creator>user</dc:creator>
  <cp:lastModifiedBy>user</cp:lastModifiedBy>
  <cp:lastPrinted>2026-01-04T16:45:00Z</cp:lastPrinted>
  <dcterms:modified xsi:type="dcterms:W3CDTF">2026-01-04T17:22:45Z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