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B2C" w:rsidRDefault="00A94B2C" w:rsidP="00A94B2C">
      <w:pPr>
        <w:widowControl/>
        <w:shd w:val="clear" w:color="auto" w:fill="FFFFFF"/>
        <w:snapToGrid w:val="0"/>
        <w:spacing w:line="360" w:lineRule="auto"/>
        <w:jc w:val="center"/>
        <w:rPr>
          <w:rFonts w:ascii="黑体" w:eastAsia="黑体"/>
          <w:b/>
          <w:color w:val="000000"/>
          <w:kern w:val="0"/>
          <w:sz w:val="32"/>
          <w:szCs w:val="32"/>
        </w:rPr>
      </w:pPr>
      <w:bookmarkStart w:id="0" w:name="_GoBack"/>
      <w:r>
        <w:rPr>
          <w:rFonts w:ascii="黑体" w:eastAsia="黑体" w:hint="eastAsia"/>
          <w:b/>
          <w:color w:val="000000"/>
          <w:kern w:val="0"/>
          <w:sz w:val="32"/>
          <w:szCs w:val="32"/>
        </w:rPr>
        <w:t>拟批准的建设项目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977"/>
        <w:gridCol w:w="648"/>
        <w:gridCol w:w="648"/>
        <w:gridCol w:w="783"/>
        <w:gridCol w:w="1791"/>
        <w:gridCol w:w="3081"/>
      </w:tblGrid>
      <w:tr w:rsidR="00EA59CB" w:rsidTr="00F92A24">
        <w:tc>
          <w:tcPr>
            <w:tcW w:w="594" w:type="dxa"/>
            <w:tcBorders>
              <w:top w:val="single" w:sz="4" w:space="0" w:color="auto"/>
              <w:left w:val="single" w:sz="4" w:space="0" w:color="auto"/>
              <w:bottom w:val="single" w:sz="4" w:space="0" w:color="auto"/>
              <w:right w:val="single" w:sz="4" w:space="0" w:color="auto"/>
            </w:tcBorders>
            <w:vAlign w:val="center"/>
            <w:hideMark/>
          </w:tcPr>
          <w:bookmarkEnd w:id="0"/>
          <w:p w:rsidR="00A94B2C" w:rsidRDefault="00A94B2C">
            <w:pPr>
              <w:widowControl/>
              <w:snapToGrid w:val="0"/>
              <w:jc w:val="center"/>
              <w:rPr>
                <w:color w:val="000000"/>
                <w:kern w:val="0"/>
                <w:szCs w:val="21"/>
              </w:rPr>
            </w:pPr>
            <w:r>
              <w:rPr>
                <w:rFonts w:ascii="宋体" w:hAnsi="宋体" w:hint="eastAsia"/>
                <w:b/>
                <w:bCs/>
                <w:color w:val="000000"/>
                <w:kern w:val="0"/>
                <w:szCs w:val="21"/>
              </w:rPr>
              <w:t>序号</w:t>
            </w:r>
          </w:p>
        </w:tc>
        <w:tc>
          <w:tcPr>
            <w:tcW w:w="977"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名称</w:t>
            </w:r>
          </w:p>
        </w:tc>
        <w:tc>
          <w:tcPr>
            <w:tcW w:w="64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地点</w:t>
            </w:r>
          </w:p>
        </w:tc>
        <w:tc>
          <w:tcPr>
            <w:tcW w:w="648"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建设</w:t>
            </w:r>
          </w:p>
          <w:p w:rsidR="00A94B2C" w:rsidRDefault="00A94B2C">
            <w:pPr>
              <w:widowControl/>
              <w:snapToGrid w:val="0"/>
              <w:jc w:val="center"/>
              <w:rPr>
                <w:color w:val="000000"/>
                <w:kern w:val="0"/>
                <w:szCs w:val="21"/>
              </w:rPr>
            </w:pPr>
            <w:r>
              <w:rPr>
                <w:rFonts w:ascii="宋体" w:hAnsi="宋体" w:hint="eastAsia"/>
                <w:b/>
                <w:bCs/>
                <w:color w:val="000000"/>
                <w:kern w:val="0"/>
                <w:szCs w:val="21"/>
              </w:rPr>
              <w:t>单位</w:t>
            </w:r>
          </w:p>
        </w:tc>
        <w:tc>
          <w:tcPr>
            <w:tcW w:w="783"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环境影响评价机构</w:t>
            </w:r>
          </w:p>
        </w:tc>
        <w:tc>
          <w:tcPr>
            <w:tcW w:w="179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jc w:val="center"/>
              <w:rPr>
                <w:color w:val="000000"/>
                <w:kern w:val="0"/>
                <w:szCs w:val="21"/>
              </w:rPr>
            </w:pPr>
            <w:r>
              <w:rPr>
                <w:rFonts w:ascii="宋体" w:hAnsi="宋体" w:hint="eastAsia"/>
                <w:b/>
                <w:bCs/>
                <w:color w:val="000000"/>
                <w:kern w:val="0"/>
                <w:szCs w:val="21"/>
              </w:rPr>
              <w:t>项目</w:t>
            </w:r>
          </w:p>
          <w:p w:rsidR="00A94B2C" w:rsidRDefault="00A94B2C">
            <w:pPr>
              <w:widowControl/>
              <w:snapToGrid w:val="0"/>
              <w:jc w:val="center"/>
              <w:rPr>
                <w:color w:val="000000"/>
                <w:kern w:val="0"/>
                <w:szCs w:val="21"/>
              </w:rPr>
            </w:pPr>
            <w:r>
              <w:rPr>
                <w:rFonts w:ascii="宋体" w:hAnsi="宋体" w:hint="eastAsia"/>
                <w:b/>
                <w:bCs/>
                <w:color w:val="000000"/>
                <w:kern w:val="0"/>
                <w:szCs w:val="21"/>
              </w:rPr>
              <w:t>概况</w:t>
            </w:r>
          </w:p>
        </w:tc>
        <w:tc>
          <w:tcPr>
            <w:tcW w:w="3081" w:type="dxa"/>
            <w:tcBorders>
              <w:top w:val="single" w:sz="4" w:space="0" w:color="auto"/>
              <w:left w:val="single" w:sz="4" w:space="0" w:color="auto"/>
              <w:bottom w:val="single" w:sz="4" w:space="0" w:color="auto"/>
              <w:right w:val="single" w:sz="4" w:space="0" w:color="auto"/>
            </w:tcBorders>
            <w:vAlign w:val="center"/>
            <w:hideMark/>
          </w:tcPr>
          <w:p w:rsidR="00A94B2C" w:rsidRDefault="00A94B2C">
            <w:pPr>
              <w:widowControl/>
              <w:snapToGrid w:val="0"/>
              <w:rPr>
                <w:color w:val="000000"/>
                <w:kern w:val="0"/>
                <w:szCs w:val="21"/>
              </w:rPr>
            </w:pPr>
            <w:r>
              <w:rPr>
                <w:rFonts w:ascii="宋体" w:hAnsi="宋体" w:hint="eastAsia"/>
                <w:b/>
                <w:bCs/>
                <w:color w:val="000000"/>
                <w:kern w:val="0"/>
                <w:szCs w:val="21"/>
              </w:rPr>
              <w:t>报告表提出的主要环境影响及预防或者减轻不良环境影响的对策和措施</w:t>
            </w:r>
          </w:p>
        </w:tc>
      </w:tr>
      <w:tr w:rsidR="001C322D" w:rsidTr="00F92A24">
        <w:trPr>
          <w:trHeight w:val="1735"/>
        </w:trPr>
        <w:tc>
          <w:tcPr>
            <w:tcW w:w="594" w:type="dxa"/>
            <w:tcBorders>
              <w:top w:val="single" w:sz="4" w:space="0" w:color="auto"/>
              <w:left w:val="single" w:sz="4" w:space="0" w:color="auto"/>
              <w:bottom w:val="single" w:sz="4" w:space="0" w:color="auto"/>
              <w:right w:val="single" w:sz="4" w:space="0" w:color="auto"/>
            </w:tcBorders>
          </w:tcPr>
          <w:p w:rsidR="001C322D" w:rsidRDefault="00F92A24" w:rsidP="001C322D">
            <w:pPr>
              <w:snapToGrid w:val="0"/>
              <w:spacing w:line="360" w:lineRule="auto"/>
              <w:rPr>
                <w:rFonts w:ascii="方正仿宋简体" w:eastAsia="方正仿宋简体"/>
                <w:b/>
                <w:color w:val="000000"/>
                <w:kern w:val="0"/>
                <w:szCs w:val="21"/>
              </w:rPr>
            </w:pPr>
            <w:r>
              <w:rPr>
                <w:rFonts w:ascii="方正仿宋简体" w:eastAsia="方正仿宋简体" w:hint="eastAsia"/>
                <w:b/>
                <w:color w:val="000000"/>
                <w:kern w:val="0"/>
                <w:szCs w:val="21"/>
              </w:rPr>
              <w:t>1</w:t>
            </w:r>
          </w:p>
        </w:tc>
        <w:tc>
          <w:tcPr>
            <w:tcW w:w="977" w:type="dxa"/>
            <w:tcBorders>
              <w:top w:val="single" w:sz="4" w:space="0" w:color="auto"/>
              <w:left w:val="single" w:sz="4" w:space="0" w:color="auto"/>
              <w:bottom w:val="single" w:sz="4" w:space="0" w:color="auto"/>
              <w:right w:val="single" w:sz="4" w:space="0" w:color="auto"/>
            </w:tcBorders>
            <w:vAlign w:val="center"/>
          </w:tcPr>
          <w:p w:rsidR="001C322D" w:rsidRPr="008B4291" w:rsidRDefault="00F92A24" w:rsidP="002444D5">
            <w:pPr>
              <w:rPr>
                <w:rFonts w:ascii="宋体" w:hAnsi="宋体"/>
                <w:color w:val="000000"/>
                <w:kern w:val="0"/>
                <w:szCs w:val="21"/>
              </w:rPr>
            </w:pPr>
            <w:r w:rsidRPr="00F92A24">
              <w:rPr>
                <w:rFonts w:ascii="宋体" w:hAnsi="宋体" w:hint="eastAsia"/>
                <w:color w:val="000000"/>
                <w:kern w:val="0"/>
                <w:szCs w:val="21"/>
              </w:rPr>
              <w:t>开江杨柳110千伏变电站T接（</w:t>
            </w:r>
            <w:proofErr w:type="gramStart"/>
            <w:r w:rsidRPr="00F92A24">
              <w:rPr>
                <w:rFonts w:ascii="宋体" w:hAnsi="宋体" w:hint="eastAsia"/>
                <w:color w:val="000000"/>
                <w:kern w:val="0"/>
                <w:szCs w:val="21"/>
              </w:rPr>
              <w:t>国网)亭小</w:t>
            </w:r>
            <w:proofErr w:type="gramEnd"/>
            <w:r w:rsidRPr="00F92A24">
              <w:rPr>
                <w:rFonts w:ascii="宋体" w:hAnsi="宋体" w:hint="eastAsia"/>
                <w:color w:val="000000"/>
                <w:kern w:val="0"/>
                <w:szCs w:val="21"/>
              </w:rPr>
              <w:t>北线110千伏线路新建工程</w:t>
            </w:r>
          </w:p>
        </w:tc>
        <w:tc>
          <w:tcPr>
            <w:tcW w:w="648" w:type="dxa"/>
            <w:tcBorders>
              <w:top w:val="single" w:sz="4" w:space="0" w:color="auto"/>
              <w:left w:val="single" w:sz="4" w:space="0" w:color="auto"/>
              <w:bottom w:val="single" w:sz="4" w:space="0" w:color="auto"/>
              <w:right w:val="single" w:sz="4" w:space="0" w:color="auto"/>
            </w:tcBorders>
            <w:vAlign w:val="center"/>
          </w:tcPr>
          <w:p w:rsidR="001C322D" w:rsidRDefault="00F92A24" w:rsidP="00F92A24">
            <w:pPr>
              <w:rPr>
                <w:rFonts w:ascii="宋体" w:hAnsi="宋体"/>
                <w:color w:val="000000"/>
                <w:kern w:val="0"/>
                <w:szCs w:val="21"/>
              </w:rPr>
            </w:pPr>
            <w:r>
              <w:rPr>
                <w:rFonts w:ascii="宋体" w:hAnsi="宋体" w:hint="eastAsia"/>
                <w:color w:val="000000"/>
                <w:kern w:val="0"/>
                <w:szCs w:val="21"/>
              </w:rPr>
              <w:t>开江县</w:t>
            </w:r>
            <w:r w:rsidR="001C322D">
              <w:rPr>
                <w:rFonts w:ascii="宋体" w:hAnsi="宋体" w:hint="eastAsia"/>
                <w:color w:val="000000"/>
                <w:kern w:val="0"/>
                <w:szCs w:val="21"/>
              </w:rPr>
              <w:t>境内</w:t>
            </w:r>
          </w:p>
        </w:tc>
        <w:tc>
          <w:tcPr>
            <w:tcW w:w="648" w:type="dxa"/>
            <w:tcBorders>
              <w:top w:val="single" w:sz="4" w:space="0" w:color="auto"/>
              <w:left w:val="single" w:sz="4" w:space="0" w:color="auto"/>
              <w:bottom w:val="single" w:sz="4" w:space="0" w:color="auto"/>
              <w:right w:val="single" w:sz="4" w:space="0" w:color="auto"/>
            </w:tcBorders>
            <w:vAlign w:val="center"/>
          </w:tcPr>
          <w:p w:rsidR="001C322D" w:rsidRDefault="00F92A24" w:rsidP="002444D5">
            <w:pPr>
              <w:rPr>
                <w:rFonts w:ascii="宋体" w:hAnsi="宋体"/>
                <w:color w:val="000000"/>
                <w:kern w:val="0"/>
                <w:szCs w:val="21"/>
              </w:rPr>
            </w:pPr>
            <w:r w:rsidRPr="00F92A24">
              <w:rPr>
                <w:rFonts w:ascii="宋体" w:hAnsi="宋体" w:hint="eastAsia"/>
                <w:color w:val="000000"/>
                <w:kern w:val="0"/>
                <w:szCs w:val="21"/>
              </w:rPr>
              <w:t>四川省水电投资经营集团开江明月电力有限公司</w:t>
            </w:r>
          </w:p>
        </w:tc>
        <w:tc>
          <w:tcPr>
            <w:tcW w:w="783" w:type="dxa"/>
            <w:tcBorders>
              <w:top w:val="single" w:sz="4" w:space="0" w:color="auto"/>
              <w:left w:val="single" w:sz="4" w:space="0" w:color="auto"/>
              <w:bottom w:val="single" w:sz="4" w:space="0" w:color="auto"/>
              <w:right w:val="single" w:sz="4" w:space="0" w:color="auto"/>
            </w:tcBorders>
            <w:vAlign w:val="center"/>
          </w:tcPr>
          <w:p w:rsidR="001C322D" w:rsidRDefault="001C322D" w:rsidP="002444D5">
            <w:pPr>
              <w:snapToGrid w:val="0"/>
              <w:rPr>
                <w:rFonts w:ascii="宋体" w:hAnsi="宋体"/>
                <w:color w:val="000000"/>
                <w:kern w:val="0"/>
                <w:szCs w:val="21"/>
              </w:rPr>
            </w:pPr>
            <w:r>
              <w:rPr>
                <w:rFonts w:ascii="宋体" w:hAnsi="宋体" w:hint="eastAsia"/>
                <w:color w:val="000000"/>
                <w:kern w:val="0"/>
                <w:szCs w:val="21"/>
              </w:rPr>
              <w:t>四川华易工程技术有限责任公 司</w:t>
            </w:r>
          </w:p>
        </w:tc>
        <w:tc>
          <w:tcPr>
            <w:tcW w:w="1791" w:type="dxa"/>
            <w:tcBorders>
              <w:top w:val="single" w:sz="4" w:space="0" w:color="auto"/>
              <w:left w:val="single" w:sz="4" w:space="0" w:color="auto"/>
              <w:bottom w:val="single" w:sz="4" w:space="0" w:color="auto"/>
              <w:right w:val="single" w:sz="4" w:space="0" w:color="auto"/>
            </w:tcBorders>
            <w:vAlign w:val="center"/>
          </w:tcPr>
          <w:p w:rsidR="00F92A24" w:rsidRPr="00DF25F5" w:rsidRDefault="00DF25F5" w:rsidP="00F92A24">
            <w:pPr>
              <w:adjustRightInd w:val="0"/>
              <w:snapToGrid w:val="0"/>
              <w:spacing w:line="360" w:lineRule="auto"/>
              <w:outlineLvl w:val="1"/>
              <w:rPr>
                <w:rFonts w:asciiTheme="majorEastAsia" w:eastAsiaTheme="majorEastAsia" w:hAnsiTheme="majorEastAsia"/>
                <w:szCs w:val="21"/>
              </w:rPr>
            </w:pPr>
            <w:r>
              <w:rPr>
                <w:rFonts w:asciiTheme="majorEastAsia" w:eastAsiaTheme="majorEastAsia" w:hAnsiTheme="majorEastAsia" w:hint="eastAsia"/>
                <w:szCs w:val="21"/>
              </w:rPr>
              <w:t>1、</w:t>
            </w:r>
            <w:r w:rsidR="00F92A24" w:rsidRPr="00F92A24">
              <w:rPr>
                <w:rFonts w:asciiTheme="majorEastAsia" w:eastAsiaTheme="majorEastAsia" w:hAnsiTheme="majorEastAsia" w:hint="eastAsia"/>
                <w:szCs w:val="21"/>
              </w:rPr>
              <w:t>开江杨柳110kV变电站T接（国网）</w:t>
            </w:r>
            <w:proofErr w:type="gramStart"/>
            <w:r w:rsidR="00F92A24" w:rsidRPr="00F92A24">
              <w:rPr>
                <w:rFonts w:asciiTheme="majorEastAsia" w:eastAsiaTheme="majorEastAsia" w:hAnsiTheme="majorEastAsia" w:hint="eastAsia"/>
                <w:szCs w:val="21"/>
              </w:rPr>
              <w:t>亭小北线</w:t>
            </w:r>
            <w:proofErr w:type="gramEnd"/>
            <w:r w:rsidR="00F92A24" w:rsidRPr="00F92A24">
              <w:rPr>
                <w:rFonts w:asciiTheme="majorEastAsia" w:eastAsiaTheme="majorEastAsia" w:hAnsiTheme="majorEastAsia" w:hint="eastAsia"/>
                <w:szCs w:val="21"/>
              </w:rPr>
              <w:t>110kV线路新建工程</w:t>
            </w:r>
            <w:r w:rsidR="00F92A24">
              <w:rPr>
                <w:rFonts w:asciiTheme="majorEastAsia" w:eastAsiaTheme="majorEastAsia" w:hAnsiTheme="majorEastAsia" w:hint="eastAsia"/>
                <w:szCs w:val="21"/>
              </w:rPr>
              <w:t>。</w:t>
            </w:r>
            <w:r w:rsidR="00F92A24" w:rsidRPr="00F92A24">
              <w:rPr>
                <w:rFonts w:asciiTheme="majorEastAsia" w:eastAsiaTheme="majorEastAsia" w:hAnsiTheme="majorEastAsia" w:hint="eastAsia"/>
                <w:szCs w:val="21"/>
              </w:rPr>
              <w:t>本项目线路从既有110kV</w:t>
            </w:r>
            <w:proofErr w:type="gramStart"/>
            <w:r w:rsidR="00F92A24" w:rsidRPr="00F92A24">
              <w:rPr>
                <w:rFonts w:asciiTheme="majorEastAsia" w:eastAsiaTheme="majorEastAsia" w:hAnsiTheme="majorEastAsia" w:hint="eastAsia"/>
                <w:szCs w:val="21"/>
              </w:rPr>
              <w:t>亭小北线</w:t>
            </w:r>
            <w:proofErr w:type="gramEnd"/>
            <w:r w:rsidR="00F92A24" w:rsidRPr="00F92A24">
              <w:rPr>
                <w:rFonts w:asciiTheme="majorEastAsia" w:eastAsiaTheme="majorEastAsia" w:hAnsiTheme="majorEastAsia" w:hint="eastAsia"/>
                <w:szCs w:val="21"/>
              </w:rPr>
              <w:t>68号杆</w:t>
            </w:r>
            <w:proofErr w:type="gramStart"/>
            <w:r w:rsidR="00F92A24" w:rsidRPr="00F92A24">
              <w:rPr>
                <w:rFonts w:asciiTheme="majorEastAsia" w:eastAsiaTheme="majorEastAsia" w:hAnsiTheme="majorEastAsia" w:hint="eastAsia"/>
                <w:szCs w:val="21"/>
              </w:rPr>
              <w:t>大号侧约</w:t>
            </w:r>
            <w:proofErr w:type="gramEnd"/>
            <w:r w:rsidR="00F92A24" w:rsidRPr="00F92A24">
              <w:rPr>
                <w:rFonts w:asciiTheme="majorEastAsia" w:eastAsiaTheme="majorEastAsia" w:hAnsiTheme="majorEastAsia" w:hint="eastAsia"/>
                <w:szCs w:val="21"/>
              </w:rPr>
              <w:t>155m处T接点起，至已建的杨柳110kV变电站止，新建架空线路路径长度0.96km，其中T接点（N1塔）～依托既有至观音的终端塔（N4塔）段</w:t>
            </w:r>
            <w:proofErr w:type="gramStart"/>
            <w:r w:rsidR="00F92A24" w:rsidRPr="00F92A24">
              <w:rPr>
                <w:rFonts w:asciiTheme="majorEastAsia" w:eastAsiaTheme="majorEastAsia" w:hAnsiTheme="majorEastAsia" w:hint="eastAsia"/>
                <w:szCs w:val="21"/>
              </w:rPr>
              <w:t>采用单回三角</w:t>
            </w:r>
            <w:proofErr w:type="gramEnd"/>
            <w:r w:rsidR="00F92A24" w:rsidRPr="00F92A24">
              <w:rPr>
                <w:rFonts w:asciiTheme="majorEastAsia" w:eastAsiaTheme="majorEastAsia" w:hAnsiTheme="majorEastAsia" w:hint="eastAsia"/>
                <w:szCs w:val="21"/>
              </w:rPr>
              <w:t>排列架设，长度933m；依托既有至观音的终端塔～变电站扩建的6Y间隔段与</w:t>
            </w:r>
            <w:proofErr w:type="gramStart"/>
            <w:r w:rsidR="00F92A24" w:rsidRPr="00F92A24">
              <w:rPr>
                <w:rFonts w:asciiTheme="majorEastAsia" w:eastAsiaTheme="majorEastAsia" w:hAnsiTheme="majorEastAsia" w:hint="eastAsia"/>
                <w:szCs w:val="21"/>
              </w:rPr>
              <w:t>观杨线</w:t>
            </w:r>
            <w:proofErr w:type="gramEnd"/>
            <w:r w:rsidR="00F92A24" w:rsidRPr="00F92A24">
              <w:rPr>
                <w:rFonts w:asciiTheme="majorEastAsia" w:eastAsiaTheme="majorEastAsia" w:hAnsiTheme="majorEastAsia" w:hint="eastAsia"/>
                <w:szCs w:val="21"/>
              </w:rPr>
              <w:t>呈双回垂直逆相序架设，长度约27m；全线导线采用JL/G1A-300/25钢芯铝绞线，设计额定电流200A，</w:t>
            </w:r>
            <w:r w:rsidR="00F92A24" w:rsidRPr="00F92A24">
              <w:rPr>
                <w:rFonts w:asciiTheme="majorEastAsia" w:eastAsiaTheme="majorEastAsia" w:hAnsiTheme="majorEastAsia" w:hint="eastAsia"/>
                <w:szCs w:val="21"/>
              </w:rPr>
              <w:lastRenderedPageBreak/>
              <w:t>地线采用两根OPGW-24B1-90型复合光缆。</w:t>
            </w:r>
          </w:p>
          <w:p w:rsidR="00DF25F5" w:rsidRPr="00BF4CAE" w:rsidRDefault="00DF25F5" w:rsidP="00DF25F5">
            <w:pPr>
              <w:adjustRightInd w:val="0"/>
              <w:snapToGrid w:val="0"/>
              <w:spacing w:line="360" w:lineRule="auto"/>
              <w:outlineLvl w:val="1"/>
              <w:rPr>
                <w:rFonts w:asciiTheme="majorEastAsia" w:eastAsiaTheme="majorEastAsia" w:hAnsiTheme="majorEastAsia"/>
                <w:szCs w:val="21"/>
              </w:rPr>
            </w:pPr>
          </w:p>
        </w:tc>
        <w:tc>
          <w:tcPr>
            <w:tcW w:w="3081" w:type="dxa"/>
            <w:tcBorders>
              <w:top w:val="single" w:sz="4" w:space="0" w:color="auto"/>
              <w:left w:val="single" w:sz="4" w:space="0" w:color="auto"/>
              <w:bottom w:val="single" w:sz="4" w:space="0" w:color="auto"/>
              <w:right w:val="single" w:sz="4" w:space="0" w:color="auto"/>
            </w:tcBorders>
            <w:vAlign w:val="center"/>
          </w:tcPr>
          <w:p w:rsidR="00DF25F5" w:rsidRPr="00DF25F5" w:rsidRDefault="00883D66" w:rsidP="00DF25F5">
            <w:pPr>
              <w:pStyle w:val="p0"/>
              <w:spacing w:line="260" w:lineRule="exact"/>
              <w:ind w:left="210"/>
              <w:jc w:val="left"/>
              <w:rPr>
                <w:rFonts w:ascii="宋体" w:hAnsi="宋体"/>
                <w:color w:val="000000"/>
              </w:rPr>
            </w:pPr>
            <w:r>
              <w:rPr>
                <w:rFonts w:ascii="宋体" w:hAnsi="宋体" w:hint="eastAsia"/>
                <w:color w:val="000000"/>
              </w:rPr>
              <w:lastRenderedPageBreak/>
              <w:t>一、</w:t>
            </w:r>
            <w:r w:rsidR="00DF25F5" w:rsidRPr="00DF25F5">
              <w:rPr>
                <w:rFonts w:ascii="宋体" w:hAnsi="宋体" w:hint="eastAsia"/>
                <w:color w:val="000000"/>
              </w:rPr>
              <w:t>施工期主要产生扬尘、噪声、生活污水、施工废水、固体废物、拆除垃圾等。</w:t>
            </w:r>
            <w:r>
              <w:rPr>
                <w:rFonts w:ascii="宋体" w:hAnsi="宋体" w:hint="eastAsia"/>
                <w:color w:val="000000"/>
              </w:rPr>
              <w:t>（一）</w:t>
            </w:r>
            <w:r w:rsidR="00DF25F5" w:rsidRPr="00DF25F5">
              <w:rPr>
                <w:rFonts w:ascii="宋体" w:hAnsi="宋体" w:hint="eastAsia"/>
                <w:color w:val="000000"/>
              </w:rPr>
              <w:t>、大气环境</w:t>
            </w:r>
            <w:r>
              <w:rPr>
                <w:rFonts w:ascii="宋体" w:hAnsi="宋体" w:hint="eastAsia"/>
                <w:color w:val="000000"/>
              </w:rPr>
              <w:t>。主要</w:t>
            </w:r>
            <w:r w:rsidR="00DF25F5" w:rsidRPr="00DF25F5">
              <w:rPr>
                <w:rFonts w:ascii="宋体" w:hAnsi="宋体" w:hint="eastAsia"/>
                <w:color w:val="000000"/>
              </w:rPr>
              <w:t>是施工粉尘、道路扬尘、车辆尾气，通过采取有效措施影响较小；</w:t>
            </w:r>
            <w:r>
              <w:rPr>
                <w:rFonts w:ascii="宋体" w:hAnsi="宋体" w:hint="eastAsia"/>
                <w:color w:val="000000"/>
              </w:rPr>
              <w:t>（二）</w:t>
            </w:r>
            <w:r w:rsidR="00DF25F5" w:rsidRPr="00DF25F5">
              <w:rPr>
                <w:rFonts w:ascii="宋体" w:hAnsi="宋体" w:hint="eastAsia"/>
                <w:color w:val="000000"/>
              </w:rPr>
              <w:t>、水环境</w:t>
            </w:r>
            <w:r>
              <w:rPr>
                <w:rFonts w:ascii="宋体" w:hAnsi="宋体" w:hint="eastAsia"/>
                <w:color w:val="000000"/>
              </w:rPr>
              <w:t>。主要</w:t>
            </w:r>
            <w:r w:rsidR="00DF25F5" w:rsidRPr="00DF25F5">
              <w:rPr>
                <w:rFonts w:ascii="宋体" w:hAnsi="宋体" w:hint="eastAsia"/>
                <w:color w:val="000000"/>
              </w:rPr>
              <w:t>是塔基处施工废水和极少量施工人员生活污水，由于施工期每个作业区持续时间短，比较分散，依托已有的设施收集处理，不外排。</w:t>
            </w:r>
            <w:r>
              <w:rPr>
                <w:rFonts w:ascii="宋体" w:hAnsi="宋体" w:hint="eastAsia"/>
                <w:color w:val="000000"/>
              </w:rPr>
              <w:t>（三）</w:t>
            </w:r>
            <w:r w:rsidR="00DF25F5" w:rsidRPr="00DF25F5">
              <w:rPr>
                <w:rFonts w:ascii="宋体" w:hAnsi="宋体" w:hint="eastAsia"/>
                <w:color w:val="000000"/>
              </w:rPr>
              <w:t>、声环境</w:t>
            </w:r>
            <w:r>
              <w:rPr>
                <w:rFonts w:ascii="宋体" w:hAnsi="宋体" w:hint="eastAsia"/>
                <w:color w:val="000000"/>
              </w:rPr>
              <w:t>。</w:t>
            </w:r>
            <w:r w:rsidR="00DF25F5" w:rsidRPr="00DF25F5">
              <w:rPr>
                <w:rFonts w:ascii="宋体" w:hAnsi="宋体" w:hint="eastAsia"/>
                <w:color w:val="000000"/>
              </w:rPr>
              <w:t>主要为施工机械和施工人员活动中产生的噪声污染，采用低噪声施工机械、合理安排施工时间，禁止鸣笛，减少施工噪声。</w:t>
            </w:r>
            <w:r>
              <w:rPr>
                <w:rFonts w:ascii="宋体" w:hAnsi="宋体" w:hint="eastAsia"/>
                <w:color w:val="000000"/>
              </w:rPr>
              <w:t>（三）</w:t>
            </w:r>
            <w:r w:rsidR="00DF25F5" w:rsidRPr="00DF25F5">
              <w:rPr>
                <w:rFonts w:ascii="宋体" w:hAnsi="宋体" w:hint="eastAsia"/>
                <w:color w:val="000000"/>
              </w:rPr>
              <w:t>、固体废弃物。主要是生活垃圾，运往垃圾收集点，环卫统一清运。土石方，用于回填塔基。</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二、营运期</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（一）噪声：</w:t>
            </w:r>
          </w:p>
          <w:p w:rsid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输电线路产生的电晕可听噪音和风噪声，能满足《110KV-750KV架空输电线路设计规范》（GB50545-2010）的要求，本工程在不同海拔下各类型导线可听噪声在45dB(A),对动物的影响不大。能满足《声环境质量标准》（GB3096-2008）2 类标准的要求。</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（二）电磁环境：</w:t>
            </w:r>
          </w:p>
          <w:p w:rsidR="00DF25F5" w:rsidRPr="00DF25F5" w:rsidRDefault="00DF25F5" w:rsidP="00DF25F5">
            <w:pPr>
              <w:pStyle w:val="p0"/>
              <w:spacing w:line="260" w:lineRule="exact"/>
              <w:ind w:left="210"/>
              <w:jc w:val="left"/>
              <w:rPr>
                <w:rFonts w:ascii="宋体" w:hAnsi="宋体"/>
                <w:color w:val="000000"/>
              </w:rPr>
            </w:pPr>
            <w:r>
              <w:rPr>
                <w:rFonts w:ascii="宋体" w:hAnsi="宋体" w:hint="eastAsia"/>
                <w:color w:val="000000"/>
              </w:rPr>
              <w:t>线路工程</w:t>
            </w:r>
            <w:r w:rsidRPr="00DF25F5">
              <w:rPr>
                <w:rFonts w:ascii="宋体" w:hAnsi="宋体" w:hint="eastAsia"/>
                <w:color w:val="000000"/>
              </w:rPr>
              <w:t>的工频电场强度、工频磁感应强度均满足《电磁环境控制限值》（GB8702-2014）中公众曝露控制限值（工频电场4KV/m、工频磁感应强度0.1mT）的控制要求。</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线路工程采取合理的防范措施满足《110KV-750KV架空输电线路设计规范》（GB50545-2010）要求。</w:t>
            </w:r>
          </w:p>
          <w:p w:rsid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（三）水环境影响</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本工程建成后无生活污水和</w:t>
            </w:r>
            <w:r w:rsidR="00883D66">
              <w:rPr>
                <w:rFonts w:ascii="宋体" w:hAnsi="宋体" w:hint="eastAsia"/>
                <w:color w:val="000000"/>
              </w:rPr>
              <w:t>生产废</w:t>
            </w:r>
            <w:r w:rsidRPr="00DF25F5">
              <w:rPr>
                <w:rFonts w:ascii="宋体" w:hAnsi="宋体" w:hint="eastAsia"/>
                <w:color w:val="000000"/>
              </w:rPr>
              <w:t>水产生。</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lastRenderedPageBreak/>
              <w:t>（四）大气环境影响</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本项目投运后，无大气污染物产生，不影响项目所在区域大气环境功能。</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（五）固体废物</w:t>
            </w:r>
          </w:p>
          <w:p w:rsidR="00DF25F5" w:rsidRPr="00DF25F5" w:rsidRDefault="00DF25F5" w:rsidP="00DF25F5">
            <w:pPr>
              <w:pStyle w:val="p0"/>
              <w:spacing w:line="260" w:lineRule="exact"/>
              <w:ind w:left="210"/>
              <w:jc w:val="left"/>
              <w:rPr>
                <w:rFonts w:ascii="宋体" w:hAnsi="宋体"/>
                <w:color w:val="000000"/>
              </w:rPr>
            </w:pPr>
            <w:r>
              <w:rPr>
                <w:rFonts w:ascii="宋体" w:hAnsi="宋体" w:hint="eastAsia"/>
                <w:color w:val="000000"/>
              </w:rPr>
              <w:t>建成后无固体废物产生</w:t>
            </w:r>
            <w:r w:rsidRPr="00DF25F5">
              <w:rPr>
                <w:rFonts w:ascii="宋体" w:hAnsi="宋体" w:hint="eastAsia"/>
                <w:color w:val="000000"/>
              </w:rPr>
              <w:t>。</w:t>
            </w:r>
          </w:p>
          <w:p w:rsidR="00DF25F5" w:rsidRPr="00DF25F5"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（六）生态环境</w:t>
            </w:r>
          </w:p>
          <w:p w:rsidR="001C322D" w:rsidRDefault="00DF25F5" w:rsidP="00DF25F5">
            <w:pPr>
              <w:pStyle w:val="p0"/>
              <w:spacing w:line="260" w:lineRule="exact"/>
              <w:ind w:left="210"/>
              <w:jc w:val="left"/>
              <w:rPr>
                <w:rFonts w:ascii="宋体" w:hAnsi="宋体"/>
                <w:color w:val="000000"/>
              </w:rPr>
            </w:pPr>
            <w:r w:rsidRPr="00DF25F5">
              <w:rPr>
                <w:rFonts w:ascii="宋体" w:hAnsi="宋体" w:hint="eastAsia"/>
                <w:color w:val="000000"/>
              </w:rPr>
              <w:t>本项目永久占地面积较小，生态保护区主要是防止森林火灾，施工结束后及时利用当地生态系统中原有物种进行植被恢复，采取相应措施后，不会改变环境生态功能。</w:t>
            </w:r>
          </w:p>
        </w:tc>
      </w:tr>
    </w:tbl>
    <w:p w:rsidR="00A94B2C" w:rsidRDefault="00A94B2C" w:rsidP="00A94B2C">
      <w:pPr>
        <w:rPr>
          <w:szCs w:val="21"/>
        </w:rPr>
      </w:pPr>
    </w:p>
    <w:p w:rsidR="001C322D" w:rsidRPr="001A1761" w:rsidRDefault="001C322D" w:rsidP="00A94B2C">
      <w:pPr>
        <w:rPr>
          <w:szCs w:val="21"/>
        </w:rPr>
      </w:pPr>
    </w:p>
    <w:p w:rsidR="00E013F8" w:rsidRPr="001A1761" w:rsidRDefault="00E013F8">
      <w:pPr>
        <w:rPr>
          <w:szCs w:val="21"/>
        </w:rPr>
      </w:pPr>
    </w:p>
    <w:sectPr w:rsidR="00E013F8" w:rsidRPr="001A176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A1" w:rsidRDefault="002457A1" w:rsidP="005D7211">
      <w:r>
        <w:separator/>
      </w:r>
    </w:p>
  </w:endnote>
  <w:endnote w:type="continuationSeparator" w:id="0">
    <w:p w:rsidR="002457A1" w:rsidRDefault="002457A1" w:rsidP="005D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w">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12" w:rsidRDefault="009667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12" w:rsidRDefault="009667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12" w:rsidRDefault="009667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A1" w:rsidRDefault="002457A1" w:rsidP="005D7211">
      <w:r>
        <w:separator/>
      </w:r>
    </w:p>
  </w:footnote>
  <w:footnote w:type="continuationSeparator" w:id="0">
    <w:p w:rsidR="002457A1" w:rsidRDefault="002457A1" w:rsidP="005D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12" w:rsidRDefault="009667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12" w:rsidRDefault="00966712" w:rsidP="00966712">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712" w:rsidRDefault="009667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759F"/>
    <w:multiLevelType w:val="hybridMultilevel"/>
    <w:tmpl w:val="D6F648EE"/>
    <w:lvl w:ilvl="0" w:tplc="6D9C7BC6">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18692243"/>
    <w:multiLevelType w:val="hybridMultilevel"/>
    <w:tmpl w:val="B8A4EA4E"/>
    <w:lvl w:ilvl="0" w:tplc="AD96E0C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4F8E4F40"/>
    <w:multiLevelType w:val="hybridMultilevel"/>
    <w:tmpl w:val="FF786416"/>
    <w:lvl w:ilvl="0" w:tplc="54C4437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768A4BEC"/>
    <w:multiLevelType w:val="hybridMultilevel"/>
    <w:tmpl w:val="379A9380"/>
    <w:lvl w:ilvl="0" w:tplc="1B308B22">
      <w:start w:val="1"/>
      <w:numFmt w:val="japaneseCounting"/>
      <w:lvlText w:val="%1、"/>
      <w:lvlJc w:val="left"/>
      <w:pPr>
        <w:ind w:left="630" w:hanging="4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B2C"/>
    <w:rsid w:val="00086173"/>
    <w:rsid w:val="00095482"/>
    <w:rsid w:val="00096250"/>
    <w:rsid w:val="00096352"/>
    <w:rsid w:val="000D5DDD"/>
    <w:rsid w:val="00133EDF"/>
    <w:rsid w:val="001A1761"/>
    <w:rsid w:val="001A549C"/>
    <w:rsid w:val="001C322D"/>
    <w:rsid w:val="002457A1"/>
    <w:rsid w:val="003240CF"/>
    <w:rsid w:val="003577F6"/>
    <w:rsid w:val="00445785"/>
    <w:rsid w:val="004B1C4C"/>
    <w:rsid w:val="004E29F1"/>
    <w:rsid w:val="005665DE"/>
    <w:rsid w:val="005A2887"/>
    <w:rsid w:val="005D7211"/>
    <w:rsid w:val="005E7566"/>
    <w:rsid w:val="0066145E"/>
    <w:rsid w:val="00693399"/>
    <w:rsid w:val="00706090"/>
    <w:rsid w:val="00864202"/>
    <w:rsid w:val="00883D66"/>
    <w:rsid w:val="008B4291"/>
    <w:rsid w:val="00917A8C"/>
    <w:rsid w:val="00932207"/>
    <w:rsid w:val="00962818"/>
    <w:rsid w:val="00966712"/>
    <w:rsid w:val="009C131B"/>
    <w:rsid w:val="009F540C"/>
    <w:rsid w:val="00A24C6D"/>
    <w:rsid w:val="00A44776"/>
    <w:rsid w:val="00A94B2C"/>
    <w:rsid w:val="00AC0C5E"/>
    <w:rsid w:val="00B33937"/>
    <w:rsid w:val="00B90481"/>
    <w:rsid w:val="00BB13E3"/>
    <w:rsid w:val="00BF4CAE"/>
    <w:rsid w:val="00CA3F54"/>
    <w:rsid w:val="00CA5B7C"/>
    <w:rsid w:val="00D825C1"/>
    <w:rsid w:val="00DF25F5"/>
    <w:rsid w:val="00E013F8"/>
    <w:rsid w:val="00E32190"/>
    <w:rsid w:val="00EA23BB"/>
    <w:rsid w:val="00EA59CB"/>
    <w:rsid w:val="00F0760B"/>
    <w:rsid w:val="00F92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5D72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D7211"/>
    <w:rPr>
      <w:kern w:val="2"/>
      <w:sz w:val="18"/>
      <w:szCs w:val="18"/>
    </w:rPr>
  </w:style>
  <w:style w:type="paragraph" w:styleId="a6">
    <w:name w:val="footer"/>
    <w:basedOn w:val="a"/>
    <w:link w:val="Char1"/>
    <w:rsid w:val="005D7211"/>
    <w:pPr>
      <w:tabs>
        <w:tab w:val="center" w:pos="4153"/>
        <w:tab w:val="right" w:pos="8306"/>
      </w:tabs>
      <w:snapToGrid w:val="0"/>
      <w:jc w:val="left"/>
    </w:pPr>
    <w:rPr>
      <w:sz w:val="18"/>
      <w:szCs w:val="18"/>
    </w:rPr>
  </w:style>
  <w:style w:type="character" w:customStyle="1" w:styleId="Char1">
    <w:name w:val="页脚 Char"/>
    <w:basedOn w:val="a0"/>
    <w:link w:val="a6"/>
    <w:rsid w:val="005D72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B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94B2C"/>
    <w:pPr>
      <w:widowControl/>
    </w:pPr>
    <w:rPr>
      <w:kern w:val="0"/>
      <w:szCs w:val="21"/>
    </w:rPr>
  </w:style>
  <w:style w:type="paragraph" w:customStyle="1" w:styleId="Default">
    <w:name w:val="Default"/>
    <w:rsid w:val="00A94B2C"/>
    <w:pPr>
      <w:widowControl w:val="0"/>
      <w:autoSpaceDE w:val="0"/>
      <w:autoSpaceDN w:val="0"/>
      <w:adjustRightInd w:val="0"/>
    </w:pPr>
    <w:rPr>
      <w:rFonts w:ascii="宋体w" w:eastAsia="宋体w" w:cs="宋体w"/>
      <w:color w:val="000000"/>
      <w:sz w:val="24"/>
      <w:szCs w:val="24"/>
    </w:rPr>
  </w:style>
  <w:style w:type="paragraph" w:styleId="a3">
    <w:name w:val="List Paragraph"/>
    <w:basedOn w:val="a"/>
    <w:uiPriority w:val="34"/>
    <w:qFormat/>
    <w:rsid w:val="00133EDF"/>
    <w:pPr>
      <w:ind w:firstLineChars="200" w:firstLine="420"/>
    </w:pPr>
  </w:style>
  <w:style w:type="paragraph" w:styleId="a4">
    <w:name w:val="Balloon Text"/>
    <w:basedOn w:val="a"/>
    <w:link w:val="Char"/>
    <w:rsid w:val="001A549C"/>
    <w:rPr>
      <w:sz w:val="18"/>
      <w:szCs w:val="18"/>
    </w:rPr>
  </w:style>
  <w:style w:type="character" w:customStyle="1" w:styleId="Char">
    <w:name w:val="批注框文本 Char"/>
    <w:basedOn w:val="a0"/>
    <w:link w:val="a4"/>
    <w:rsid w:val="001A549C"/>
    <w:rPr>
      <w:kern w:val="2"/>
      <w:sz w:val="18"/>
      <w:szCs w:val="18"/>
    </w:rPr>
  </w:style>
  <w:style w:type="paragraph" w:styleId="a5">
    <w:name w:val="header"/>
    <w:basedOn w:val="a"/>
    <w:link w:val="Char0"/>
    <w:rsid w:val="005D72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D7211"/>
    <w:rPr>
      <w:kern w:val="2"/>
      <w:sz w:val="18"/>
      <w:szCs w:val="18"/>
    </w:rPr>
  </w:style>
  <w:style w:type="paragraph" w:styleId="a6">
    <w:name w:val="footer"/>
    <w:basedOn w:val="a"/>
    <w:link w:val="Char1"/>
    <w:rsid w:val="005D7211"/>
    <w:pPr>
      <w:tabs>
        <w:tab w:val="center" w:pos="4153"/>
        <w:tab w:val="right" w:pos="8306"/>
      </w:tabs>
      <w:snapToGrid w:val="0"/>
      <w:jc w:val="left"/>
    </w:pPr>
    <w:rPr>
      <w:sz w:val="18"/>
      <w:szCs w:val="18"/>
    </w:rPr>
  </w:style>
  <w:style w:type="character" w:customStyle="1" w:styleId="Char1">
    <w:name w:val="页脚 Char"/>
    <w:basedOn w:val="a0"/>
    <w:link w:val="a6"/>
    <w:rsid w:val="005D72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FA90-DB65-4F86-A951-06D9BD4D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970</Characters>
  <Application>Microsoft Office Word</Application>
  <DocSecurity>0</DocSecurity>
  <Lines>8</Lines>
  <Paragraphs>2</Paragraphs>
  <ScaleCrop>false</ScaleCrop>
  <Company>微软中国</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郑长鈞</dc:creator>
  <cp:lastModifiedBy>杜青</cp:lastModifiedBy>
  <cp:revision>2</cp:revision>
  <cp:lastPrinted>2022-04-15T02:15:00Z</cp:lastPrinted>
  <dcterms:created xsi:type="dcterms:W3CDTF">2022-07-18T08:27:00Z</dcterms:created>
  <dcterms:modified xsi:type="dcterms:W3CDTF">2022-07-18T08:27:00Z</dcterms:modified>
</cp:coreProperties>
</file>