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1" w:rightFromText="181" w:horzAnchor="margin" w:tblpX="1" w:tblpY="1"/>
        <w:tblOverlap w:val="never"/>
        <w:tblW w:w="14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16"/>
        <w:gridCol w:w="717"/>
        <w:gridCol w:w="642"/>
        <w:gridCol w:w="3856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建设地点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环境影响评价机构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项目概况</w:t>
            </w:r>
          </w:p>
        </w:tc>
        <w:tc>
          <w:tcPr>
            <w:tcW w:w="7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主要环境影响及预防或者减轻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大202井建设工程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四川达州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开江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县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中国石油天然气股份有限公司西南油气田分公司重庆气矿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重庆德和环境工程有限公司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项目位于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达州市开江县长岭镇、甘棠镇、任市镇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，依托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大202井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场，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新建1座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井站，开展不含硫天然气试采，设计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定产规模12×10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vertAlign w:val="superscript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/d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井口产气经节流、加热、除砂、分离计量、脱水后输至讲渡线甘棠阀室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主要建设内容包括站场工程和线路工程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站场工程主要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包括新建井站1座，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扩建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0"/>
                <w:position w:val="0"/>
              </w:rPr>
              <w:t>讲渡线甘棠阀室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0"/>
                <w:position w:val="0"/>
                <w:lang w:eastAsia="zh-CN"/>
              </w:rPr>
              <w:t>。主要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配备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除砂橇、分离计量橇、分子筛脱水橇、出站阀组、放空模块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等设施设备。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线路工程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主要包括新建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大202井站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甘棠阀室站集气管道4.93km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设计压力7.0MPa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设计输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气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量12×10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vertAlign w:val="superscript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/d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，采用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沟埋敷设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。采用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顶管+套管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方式穿越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X144县道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开梁高速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各1次，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开挖+稳管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方式穿越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溪沟、水渠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7次，开挖+套管方式穿越村道12次。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ED7D31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项目总投资8520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万元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，其中环保投资133.53万元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75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施工期主要环境保护措施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施工废水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试压废水经沉淀处理后回用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或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洒水降尘;生活污水依托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周边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既有设施处理。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生活垃圾收集后，交由当地环卫部门处置；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施工废料、清管试压废渣收集后分类处置，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不可回用的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运至合规建筑垃圾处置场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顶管泥浆经干化处置后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，交由有主体资格和技术能力的单位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处置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淤泥经风干后运至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合规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堆场或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交由有主体资格和技术能力的单位处置；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防腐刷漆废物暂存于危废暂存间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，定期交由有资质单位转运处置。优先采用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网电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，备用柴油发电机采用合格轻质柴油，燃烧废气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经自带消烟除尘装置处理后排放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；通过优化施工布置，设置围挡，酒水降尘，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封闭运输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，使用合格燃油，加强机械设备维修保养，合理安排施工时间，选用低噪声设备，设置移动声屏障等措施，控制和减小施工扬尘、机械车辆尾气、噪声对周围环境的影响。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加强施工环境管理，涉水工程在枯水期施工，严格控制施工范围，管沟开挖采取分层开挖、分层堆放、分层回填的方式，及时进行植被恢复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加强裸露面、表土的苫盖等措施，控制和减缓管道施工对生态环境的不利影响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运营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期主要环境保护措施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一）大气污染防治措施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站场系统超压、设备检修和事故放空天然气，通过站场内15m高放空火炬燃烧后排放；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管道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系统超压、事故放空天然气，依托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甘棠阀室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20m高放空火炬燃烧后排放；定期对各设备或管线组件进行维护保养、泄漏检查，安装可燃气体泄漏报警装置，控制和减少挥发性有机物排放。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（二）水污染防治措施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方井雨水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初期雨水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检修废水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采出水暂存于采出水池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优先回用于周边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井场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压裂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配置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，无法回用的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通过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罐车拉运至罐10井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处理后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管输至罐21井进行回注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（三）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固体废物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污染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防治措施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废药剂桶统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收集后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交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由厂家回收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检修废渣、除砂废渣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采出水沉渣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收集后，定期交由有主体资格和技术能力的单位处置；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废分子筛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收集后，定期交由有主体资格和技术能力的单位处置，若沾染油类物质，则按照危险废物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暂存于危废暂存间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，定期交由有资质单位转运处置；废油、废机油桶、废含油抹布及手套等危险废物收集后，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暂存于危废暂存间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，定期交由有资质单位转运处置。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（四）噪声污染防治措施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优先使用网电，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采用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低噪声设备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，合理布局，合理安排作业时间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采取隔声、减震、消声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等措施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控制和减小噪声对周围居民等声环境敏感点的影响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（五）地下水及土壤污染防治措施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站场设置清污分流系统，采取分区防渗措施，对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采出水池、脱水装置橇、井口工艺区等区域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进行重点防渗。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设置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地下水和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土壤跟踪监测点，对土壤环境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和地下水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进行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定期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监控，异常时立刻采取有效措施。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退役期环境保护措施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及时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气井规范进行封井作业。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zh-CN" w:eastAsia="zh-CN" w:bidi="ar-SA"/>
              </w:rPr>
              <w:t>清理时采取降尘措施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zh-CN" w:eastAsia="zh-CN" w:bidi="ar-SA"/>
              </w:rPr>
              <w:t>设施拆除、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zh-CN" w:eastAsia="zh-CN" w:bidi="ar-SA"/>
              </w:rPr>
              <w:t>清理等产生的废弃管道和设备、建筑垃圾等收集并合理处置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，及时进行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迹地生态恢复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四、主要环境风险防范措施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zh-CN" w:eastAsia="zh-CN" w:bidi="ar-SA"/>
              </w:rPr>
              <w:t>配备完善的放空系统、安全截断系统、可燃气体报警系统；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zh-CN" w:eastAsia="zh-CN" w:bidi="ar-SA"/>
              </w:rPr>
              <w:t>对采出水池采取重点防渗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zh-CN" w:eastAsia="zh-CN" w:bidi="ar-SA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废水运输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，合理规划运输路线，加强设备管线巡检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，制定相应的突发环境事件应急预案并定期演练等环境风险防范措施，控制和降低环境风险。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公众参与情况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建设单位按照《环境影响评价公众参与办法》要求，通过网上公示、登报公示、张贴公告等形式对环评信息进行了公开，征求公众意见，在信息公开期间，未收到反对意见。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1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其他部门意见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开江县发展和改革局出具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《四川省固定资产投资项目备案表》（备案号：川投资备【2509-511723-04-01-607877】FGQB-0415号）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</w:tc>
      </w:tr>
    </w:tbl>
    <w:p>
      <w:pPr>
        <w:pStyle w:val="10"/>
        <w:rPr>
          <w:rFonts w:hint="default"/>
        </w:rPr>
      </w:pPr>
    </w:p>
    <w:p>
      <w:pPr>
        <w:rPr>
          <w:rFonts w:hint="default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3561B"/>
    <w:multiLevelType w:val="multilevel"/>
    <w:tmpl w:val="6D33561B"/>
    <w:lvl w:ilvl="0" w:tentative="0">
      <w:start w:val="1"/>
      <w:numFmt w:val="decimal"/>
      <w:suff w:val="nothing"/>
      <w:lvlText w:val="第%1章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isLgl/>
      <w:suff w:val="nothing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isLgl/>
      <w:suff w:val="nothing"/>
      <w:lvlText w:val="%1.%2.%3"/>
      <w:lvlJc w:val="left"/>
      <w:pPr>
        <w:ind w:left="1890" w:firstLine="0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5304" w:firstLine="0"/>
      </w:pPr>
      <w:rPr>
        <w:rFonts w:hint="eastAsia"/>
      </w:rPr>
    </w:lvl>
    <w:lvl w:ilvl="4" w:tentative="0">
      <w:start w:val="1"/>
      <w:numFmt w:val="none"/>
      <w:suff w:val="nothing"/>
      <w:lvlText w:val="表%1.%2-%3  "/>
      <w:lvlJc w:val="left"/>
      <w:pPr>
        <w:tabs>
          <w:tab w:val="left" w:pos="0"/>
        </w:tabs>
        <w:ind w:left="1075" w:firstLine="0"/>
      </w:pPr>
      <w:rPr>
        <w:rFonts w:hint="default" w:ascii="宋体" w:hAnsi="宋体" w:eastAsia="宋体" w:cs="宋体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AF9EEF"/>
    <w:rsid w:val="16FF25D4"/>
    <w:rsid w:val="36BE5777"/>
    <w:rsid w:val="37BDEA3A"/>
    <w:rsid w:val="3D7F585F"/>
    <w:rsid w:val="44FDA1F0"/>
    <w:rsid w:val="4B9A0FEE"/>
    <w:rsid w:val="4EEF25FA"/>
    <w:rsid w:val="4EFFD4E5"/>
    <w:rsid w:val="5AFF0F33"/>
    <w:rsid w:val="5B7B5B20"/>
    <w:rsid w:val="5CD236E7"/>
    <w:rsid w:val="5D7A7DC0"/>
    <w:rsid w:val="5DDBC253"/>
    <w:rsid w:val="5F070474"/>
    <w:rsid w:val="5F67F0F9"/>
    <w:rsid w:val="5FBBF5EF"/>
    <w:rsid w:val="677D1566"/>
    <w:rsid w:val="67F1862C"/>
    <w:rsid w:val="6D99E5DF"/>
    <w:rsid w:val="6DB7E07C"/>
    <w:rsid w:val="6EEB8198"/>
    <w:rsid w:val="6EFB3BBA"/>
    <w:rsid w:val="6F7B674E"/>
    <w:rsid w:val="6FB76FA1"/>
    <w:rsid w:val="6FDBD0BF"/>
    <w:rsid w:val="75EE77C5"/>
    <w:rsid w:val="767B03D4"/>
    <w:rsid w:val="7ABF9F94"/>
    <w:rsid w:val="7CF30FB6"/>
    <w:rsid w:val="7DBF527E"/>
    <w:rsid w:val="7DCFC15F"/>
    <w:rsid w:val="7FEB0399"/>
    <w:rsid w:val="7FEF1D6F"/>
    <w:rsid w:val="7FFB7094"/>
    <w:rsid w:val="9FBB3D29"/>
    <w:rsid w:val="A7AD239A"/>
    <w:rsid w:val="B4FD1985"/>
    <w:rsid w:val="BABE9678"/>
    <w:rsid w:val="BBF90645"/>
    <w:rsid w:val="BF7916D1"/>
    <w:rsid w:val="BFD7F69A"/>
    <w:rsid w:val="D3DF9438"/>
    <w:rsid w:val="D7FDECA0"/>
    <w:rsid w:val="DFDF60E1"/>
    <w:rsid w:val="DFFFDFD4"/>
    <w:rsid w:val="E7FD8574"/>
    <w:rsid w:val="EA656A2A"/>
    <w:rsid w:val="F3B3F998"/>
    <w:rsid w:val="F5F7D34B"/>
    <w:rsid w:val="F5FFCF33"/>
    <w:rsid w:val="F6FF23DA"/>
    <w:rsid w:val="FAAF9EEF"/>
    <w:rsid w:val="FEFB849B"/>
    <w:rsid w:val="FF1E8BD1"/>
    <w:rsid w:val="FF6F5191"/>
    <w:rsid w:val="FFEFA392"/>
    <w:rsid w:val="FFFB1482"/>
    <w:rsid w:val="FFFF8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widowControl/>
      <w:spacing w:after="120" w:line="360" w:lineRule="auto"/>
      <w:ind w:left="400" w:leftChars="200" w:hanging="200" w:hangingChars="200"/>
    </w:pPr>
    <w:rPr>
      <w:kern w:val="0"/>
      <w:sz w:val="24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spacing w:after="120" w:line="240" w:lineRule="auto"/>
      <w:ind w:firstLine="420" w:firstLineChars="100"/>
      <w:jc w:val="both"/>
    </w:pPr>
    <w:rPr>
      <w:rFonts w:ascii="Times New Roman" w:eastAsia="宋体"/>
      <w:sz w:val="21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paragraph" w:customStyle="1" w:styleId="13">
    <w:name w:val="表格文字"/>
    <w:basedOn w:val="9"/>
    <w:next w:val="1"/>
    <w:qFormat/>
    <w:uiPriority w:val="0"/>
    <w:pPr>
      <w:wordWrap w:val="0"/>
      <w:adjustRightInd/>
      <w:snapToGrid/>
    </w:pPr>
    <w:rPr>
      <w:rFonts w:cstheme="minorBidi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2023-08-20T21:54:00Z</dcterms:created>
  <dc:creator>user</dc:creator>
  <cp:lastModifiedBy>user</cp:lastModifiedBy>
  <cp:lastPrinted>2025-09-29T11:42:00Z</cp:lastPrinted>
  <dcterms:modified xsi:type="dcterms:W3CDTF">2026-02-06T11:14:41Z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