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EE" w:rsidRDefault="0058418C" w:rsidP="00165791">
      <w:pPr>
        <w:spacing w:line="360" w:lineRule="auto"/>
        <w:ind w:left="482"/>
        <w:rPr>
          <w:rFonts w:ascii="Times New Roman" w:eastAsia="宋体" w:hAnsi="Times New Roman" w:cs="Times New Roman"/>
          <w:b/>
          <w:color w:val="333333"/>
          <w:kern w:val="0"/>
          <w:sz w:val="24"/>
          <w:lang w:bidi="ar"/>
        </w:rPr>
      </w:pPr>
      <w:bookmarkStart w:id="0" w:name="_GoBack"/>
      <w:r>
        <w:rPr>
          <w:rFonts w:ascii="Times New Roman" w:eastAsia="宋体" w:hAnsi="Times New Roman" w:cs="Times New Roman"/>
          <w:b/>
          <w:color w:val="333333"/>
          <w:kern w:val="0"/>
          <w:sz w:val="24"/>
          <w:lang w:bidi="ar"/>
        </w:rPr>
        <w:t>拟批准的建设项目环境影响报告</w:t>
      </w:r>
      <w:r>
        <w:rPr>
          <w:rFonts w:ascii="Times New Roman" w:eastAsia="宋体" w:hAnsi="Times New Roman" w:cs="Times New Roman" w:hint="eastAsia"/>
          <w:b/>
          <w:color w:val="333333"/>
          <w:kern w:val="0"/>
          <w:sz w:val="24"/>
          <w:lang w:bidi="ar"/>
        </w:rPr>
        <w:t>书</w:t>
      </w:r>
    </w:p>
    <w:tbl>
      <w:tblPr>
        <w:tblStyle w:val="a8"/>
        <w:tblW w:w="14163" w:type="dxa"/>
        <w:tblLayout w:type="fixed"/>
        <w:tblLook w:val="04A0" w:firstRow="1" w:lastRow="0" w:firstColumn="1" w:lastColumn="0" w:noHBand="0" w:noVBand="1"/>
      </w:tblPr>
      <w:tblGrid>
        <w:gridCol w:w="710"/>
        <w:gridCol w:w="1060"/>
        <w:gridCol w:w="1125"/>
        <w:gridCol w:w="1185"/>
        <w:gridCol w:w="1620"/>
        <w:gridCol w:w="3181"/>
        <w:gridCol w:w="5282"/>
      </w:tblGrid>
      <w:tr w:rsidR="005D3CEE">
        <w:tc>
          <w:tcPr>
            <w:tcW w:w="710" w:type="dxa"/>
            <w:vAlign w:val="center"/>
          </w:tcPr>
          <w:bookmarkEnd w:id="0"/>
          <w:p w:rsidR="005D3CEE" w:rsidRDefault="0058418C">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序号</w:t>
            </w:r>
          </w:p>
        </w:tc>
        <w:tc>
          <w:tcPr>
            <w:tcW w:w="1060" w:type="dxa"/>
            <w:vAlign w:val="center"/>
          </w:tcPr>
          <w:p w:rsidR="005D3CEE" w:rsidRDefault="0058418C">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项目名称</w:t>
            </w:r>
          </w:p>
        </w:tc>
        <w:tc>
          <w:tcPr>
            <w:tcW w:w="1125" w:type="dxa"/>
            <w:vAlign w:val="center"/>
          </w:tcPr>
          <w:p w:rsidR="005D3CEE" w:rsidRDefault="0058418C">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建设地点</w:t>
            </w:r>
          </w:p>
        </w:tc>
        <w:tc>
          <w:tcPr>
            <w:tcW w:w="1185" w:type="dxa"/>
            <w:vAlign w:val="center"/>
          </w:tcPr>
          <w:p w:rsidR="005D3CEE" w:rsidRDefault="0058418C">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建设单位</w:t>
            </w:r>
          </w:p>
        </w:tc>
        <w:tc>
          <w:tcPr>
            <w:tcW w:w="1620" w:type="dxa"/>
            <w:vAlign w:val="center"/>
          </w:tcPr>
          <w:p w:rsidR="005D3CEE" w:rsidRDefault="0058418C">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环境影响评价机构</w:t>
            </w:r>
          </w:p>
        </w:tc>
        <w:tc>
          <w:tcPr>
            <w:tcW w:w="3181" w:type="dxa"/>
            <w:vAlign w:val="center"/>
          </w:tcPr>
          <w:p w:rsidR="005D3CEE" w:rsidRDefault="0058418C">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项目概况</w:t>
            </w:r>
          </w:p>
        </w:tc>
        <w:tc>
          <w:tcPr>
            <w:tcW w:w="5282" w:type="dxa"/>
            <w:vAlign w:val="center"/>
          </w:tcPr>
          <w:p w:rsidR="005D3CEE" w:rsidRDefault="0058418C">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主要环境影响及预防或者减轻不良环境影响的</w:t>
            </w:r>
          </w:p>
          <w:p w:rsidR="005D3CEE" w:rsidRDefault="0058418C">
            <w:pPr>
              <w:jc w:val="center"/>
              <w:rPr>
                <w:rFonts w:ascii="Times New Roman" w:eastAsia="宋体" w:hAnsi="Times New Roman" w:cs="Times New Roman"/>
                <w:b/>
                <w:bCs/>
                <w:color w:val="333333"/>
                <w:szCs w:val="21"/>
              </w:rPr>
            </w:pPr>
            <w:r>
              <w:rPr>
                <w:rFonts w:ascii="Times New Roman" w:eastAsia="宋体" w:hAnsi="Times New Roman" w:cs="Times New Roman"/>
                <w:b/>
                <w:bCs/>
                <w:color w:val="333333"/>
                <w:szCs w:val="21"/>
              </w:rPr>
              <w:t>对策和措施</w:t>
            </w:r>
          </w:p>
        </w:tc>
      </w:tr>
      <w:tr w:rsidR="005D3CEE">
        <w:trPr>
          <w:trHeight w:val="2725"/>
        </w:trPr>
        <w:tc>
          <w:tcPr>
            <w:tcW w:w="710" w:type="dxa"/>
            <w:vAlign w:val="center"/>
          </w:tcPr>
          <w:p w:rsidR="005D3CEE" w:rsidRDefault="0058418C">
            <w:pPr>
              <w:jc w:val="center"/>
              <w:rPr>
                <w:rFonts w:asciiTheme="majorEastAsia" w:eastAsiaTheme="majorEastAsia" w:hAnsiTheme="majorEastAsia" w:cstheme="majorEastAsia"/>
                <w:kern w:val="0"/>
                <w:szCs w:val="21"/>
              </w:rPr>
            </w:pPr>
            <w:r>
              <w:rPr>
                <w:rFonts w:asciiTheme="majorEastAsia" w:eastAsiaTheme="majorEastAsia" w:hAnsiTheme="majorEastAsia" w:cstheme="majorEastAsia" w:hint="eastAsia"/>
                <w:kern w:val="0"/>
                <w:szCs w:val="21"/>
              </w:rPr>
              <w:t>1</w:t>
            </w:r>
          </w:p>
        </w:tc>
        <w:tc>
          <w:tcPr>
            <w:tcW w:w="1060" w:type="dxa"/>
            <w:vAlign w:val="center"/>
          </w:tcPr>
          <w:p w:rsidR="005D3CEE" w:rsidRDefault="0058418C">
            <w:pPr>
              <w:autoSpaceDE w:val="0"/>
              <w:autoSpaceDN w:val="0"/>
              <w:adjustRightInd w:val="0"/>
              <w:spacing w:line="276" w:lineRule="auto"/>
              <w:jc w:val="center"/>
              <w:rPr>
                <w:bCs/>
                <w:sz w:val="18"/>
                <w:szCs w:val="18"/>
              </w:rPr>
            </w:pPr>
            <w:r>
              <w:rPr>
                <w:rFonts w:hint="eastAsia"/>
                <w:bCs/>
                <w:sz w:val="18"/>
                <w:szCs w:val="18"/>
              </w:rPr>
              <w:t>达州市达川区斑竹沟水库工程</w:t>
            </w:r>
          </w:p>
        </w:tc>
        <w:tc>
          <w:tcPr>
            <w:tcW w:w="1125" w:type="dxa"/>
            <w:vAlign w:val="center"/>
          </w:tcPr>
          <w:p w:rsidR="005D3CEE" w:rsidRDefault="0058418C">
            <w:pPr>
              <w:autoSpaceDE w:val="0"/>
              <w:autoSpaceDN w:val="0"/>
              <w:adjustRightInd w:val="0"/>
              <w:spacing w:line="276" w:lineRule="auto"/>
              <w:jc w:val="center"/>
              <w:rPr>
                <w:bCs/>
                <w:sz w:val="18"/>
                <w:szCs w:val="18"/>
              </w:rPr>
            </w:pPr>
            <w:r>
              <w:rPr>
                <w:rFonts w:hint="eastAsia"/>
                <w:bCs/>
                <w:sz w:val="18"/>
                <w:szCs w:val="18"/>
              </w:rPr>
              <w:t>达州</w:t>
            </w:r>
            <w:r>
              <w:rPr>
                <w:rFonts w:hint="eastAsia"/>
                <w:bCs/>
                <w:sz w:val="18"/>
                <w:szCs w:val="18"/>
              </w:rPr>
              <w:t>市</w:t>
            </w:r>
            <w:r>
              <w:rPr>
                <w:rFonts w:hint="eastAsia"/>
                <w:bCs/>
                <w:sz w:val="18"/>
                <w:szCs w:val="18"/>
              </w:rPr>
              <w:t>达川区</w:t>
            </w:r>
            <w:r>
              <w:rPr>
                <w:rFonts w:hint="eastAsia"/>
                <w:bCs/>
                <w:sz w:val="18"/>
                <w:szCs w:val="18"/>
              </w:rPr>
              <w:t>、</w:t>
            </w:r>
            <w:r>
              <w:rPr>
                <w:rFonts w:hint="eastAsia"/>
                <w:bCs/>
                <w:sz w:val="18"/>
                <w:szCs w:val="18"/>
              </w:rPr>
              <w:t>东部经开区</w:t>
            </w:r>
          </w:p>
        </w:tc>
        <w:tc>
          <w:tcPr>
            <w:tcW w:w="1185" w:type="dxa"/>
            <w:vAlign w:val="center"/>
          </w:tcPr>
          <w:p w:rsidR="005D3CEE" w:rsidRDefault="0058418C">
            <w:pPr>
              <w:autoSpaceDE w:val="0"/>
              <w:autoSpaceDN w:val="0"/>
              <w:adjustRightInd w:val="0"/>
              <w:spacing w:line="276" w:lineRule="auto"/>
              <w:jc w:val="center"/>
              <w:rPr>
                <w:bCs/>
                <w:sz w:val="18"/>
                <w:szCs w:val="18"/>
              </w:rPr>
            </w:pPr>
            <w:r>
              <w:rPr>
                <w:rFonts w:hint="eastAsia"/>
                <w:bCs/>
                <w:sz w:val="18"/>
                <w:szCs w:val="18"/>
              </w:rPr>
              <w:t>达州市达川区云门水务投资有限责任公司</w:t>
            </w:r>
          </w:p>
        </w:tc>
        <w:tc>
          <w:tcPr>
            <w:tcW w:w="1620" w:type="dxa"/>
            <w:vAlign w:val="center"/>
          </w:tcPr>
          <w:p w:rsidR="005D3CEE" w:rsidRDefault="0058418C">
            <w:pPr>
              <w:autoSpaceDE w:val="0"/>
              <w:autoSpaceDN w:val="0"/>
              <w:adjustRightInd w:val="0"/>
              <w:spacing w:line="276" w:lineRule="auto"/>
              <w:jc w:val="center"/>
              <w:rPr>
                <w:bCs/>
                <w:sz w:val="18"/>
                <w:szCs w:val="18"/>
              </w:rPr>
            </w:pPr>
            <w:r>
              <w:rPr>
                <w:rFonts w:hint="eastAsia"/>
                <w:bCs/>
                <w:sz w:val="18"/>
                <w:szCs w:val="18"/>
              </w:rPr>
              <w:t>四川省清源工程咨询有限公司</w:t>
            </w:r>
          </w:p>
        </w:tc>
        <w:tc>
          <w:tcPr>
            <w:tcW w:w="3181" w:type="dxa"/>
            <w:vAlign w:val="center"/>
          </w:tcPr>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达州市达川区斑竹沟水库工程坝址位于达川区麻柳镇明月江右岸一级支流铁山沟下游</w:t>
            </w:r>
            <w:r>
              <w:rPr>
                <w:rFonts w:hint="eastAsia"/>
                <w:bCs/>
                <w:sz w:val="18"/>
                <w:szCs w:val="18"/>
              </w:rPr>
              <w:t>，</w:t>
            </w:r>
            <w:r>
              <w:rPr>
                <w:rFonts w:hint="eastAsia"/>
                <w:bCs/>
                <w:sz w:val="18"/>
                <w:szCs w:val="18"/>
              </w:rPr>
              <w:t>为</w:t>
            </w:r>
            <w:r>
              <w:rPr>
                <w:rFonts w:hint="eastAsia"/>
                <w:bCs/>
                <w:sz w:val="18"/>
                <w:szCs w:val="18"/>
              </w:rPr>
              <w:t>农业灌溉、乡镇及农村人畜供水等综合利用功能的Ⅲ等中型水利工程。灌区范围涉及达川区安仁、麻柳、亭子</w:t>
            </w:r>
            <w:r>
              <w:rPr>
                <w:rFonts w:hint="eastAsia"/>
                <w:bCs/>
                <w:sz w:val="18"/>
                <w:szCs w:val="18"/>
              </w:rPr>
              <w:t>3</w:t>
            </w:r>
            <w:r>
              <w:rPr>
                <w:rFonts w:hint="eastAsia"/>
                <w:bCs/>
                <w:sz w:val="18"/>
                <w:szCs w:val="18"/>
              </w:rPr>
              <w:t>个乡镇</w:t>
            </w:r>
            <w:r>
              <w:rPr>
                <w:rFonts w:hint="eastAsia"/>
                <w:bCs/>
                <w:sz w:val="18"/>
                <w:szCs w:val="18"/>
              </w:rPr>
              <w:t>40</w:t>
            </w:r>
            <w:r>
              <w:rPr>
                <w:rFonts w:hint="eastAsia"/>
                <w:bCs/>
                <w:sz w:val="18"/>
                <w:szCs w:val="18"/>
              </w:rPr>
              <w:t>个村，供水人口</w:t>
            </w:r>
            <w:r>
              <w:rPr>
                <w:rFonts w:hint="eastAsia"/>
                <w:bCs/>
                <w:sz w:val="18"/>
                <w:szCs w:val="18"/>
              </w:rPr>
              <w:t>13.36</w:t>
            </w:r>
            <w:r>
              <w:rPr>
                <w:rFonts w:hint="eastAsia"/>
                <w:bCs/>
                <w:sz w:val="18"/>
                <w:szCs w:val="18"/>
              </w:rPr>
              <w:t>万人。设计灌溉面积</w:t>
            </w:r>
            <w:r>
              <w:rPr>
                <w:rFonts w:hint="eastAsia"/>
                <w:bCs/>
                <w:sz w:val="18"/>
                <w:szCs w:val="18"/>
              </w:rPr>
              <w:t>5.68</w:t>
            </w:r>
            <w:r>
              <w:rPr>
                <w:rFonts w:hint="eastAsia"/>
                <w:bCs/>
                <w:sz w:val="18"/>
                <w:szCs w:val="18"/>
              </w:rPr>
              <w:t>万亩（新增灌面</w:t>
            </w:r>
            <w:r>
              <w:rPr>
                <w:rFonts w:hint="eastAsia"/>
                <w:bCs/>
                <w:sz w:val="18"/>
                <w:szCs w:val="18"/>
              </w:rPr>
              <w:t>3.93</w:t>
            </w:r>
            <w:r>
              <w:rPr>
                <w:rFonts w:hint="eastAsia"/>
                <w:bCs/>
                <w:sz w:val="18"/>
                <w:szCs w:val="18"/>
              </w:rPr>
              <w:t>万亩，改善灌面</w:t>
            </w:r>
            <w:r>
              <w:rPr>
                <w:rFonts w:hint="eastAsia"/>
                <w:bCs/>
                <w:sz w:val="18"/>
                <w:szCs w:val="18"/>
              </w:rPr>
              <w:t>1.75</w:t>
            </w:r>
            <w:r>
              <w:rPr>
                <w:rFonts w:hint="eastAsia"/>
                <w:bCs/>
                <w:sz w:val="18"/>
                <w:szCs w:val="18"/>
              </w:rPr>
              <w:t>万亩）。</w:t>
            </w:r>
            <w:r>
              <w:rPr>
                <w:rFonts w:hint="eastAsia"/>
                <w:bCs/>
                <w:sz w:val="18"/>
                <w:szCs w:val="18"/>
              </w:rPr>
              <w:t>项目</w:t>
            </w:r>
            <w:r>
              <w:rPr>
                <w:rFonts w:hint="eastAsia"/>
                <w:bCs/>
                <w:sz w:val="18"/>
                <w:szCs w:val="18"/>
              </w:rPr>
              <w:t>纳入《川陕革命老区振兴发展规划》（</w:t>
            </w:r>
            <w:proofErr w:type="gramStart"/>
            <w:r>
              <w:rPr>
                <w:rFonts w:hint="eastAsia"/>
                <w:bCs/>
                <w:sz w:val="18"/>
                <w:szCs w:val="18"/>
              </w:rPr>
              <w:t>国函〔</w:t>
            </w:r>
            <w:r>
              <w:rPr>
                <w:rFonts w:hint="eastAsia"/>
                <w:bCs/>
                <w:sz w:val="18"/>
                <w:szCs w:val="18"/>
              </w:rPr>
              <w:t>2016</w:t>
            </w:r>
            <w:r>
              <w:rPr>
                <w:rFonts w:hint="eastAsia"/>
                <w:bCs/>
                <w:sz w:val="18"/>
                <w:szCs w:val="18"/>
              </w:rPr>
              <w:t>〕</w:t>
            </w:r>
            <w:proofErr w:type="gramEnd"/>
            <w:r>
              <w:rPr>
                <w:rFonts w:hint="eastAsia"/>
                <w:bCs/>
                <w:sz w:val="18"/>
                <w:szCs w:val="18"/>
              </w:rPr>
              <w:t>120</w:t>
            </w:r>
            <w:r>
              <w:rPr>
                <w:rFonts w:hint="eastAsia"/>
                <w:bCs/>
                <w:sz w:val="18"/>
                <w:szCs w:val="18"/>
              </w:rPr>
              <w:t>号）、《关于“十三五”大中型水库项目名单的函》（</w:t>
            </w:r>
            <w:proofErr w:type="gramStart"/>
            <w:r>
              <w:rPr>
                <w:rFonts w:hint="eastAsia"/>
                <w:bCs/>
                <w:sz w:val="18"/>
                <w:szCs w:val="18"/>
              </w:rPr>
              <w:t>川水函〔</w:t>
            </w:r>
            <w:r>
              <w:rPr>
                <w:rFonts w:hint="eastAsia"/>
                <w:bCs/>
                <w:sz w:val="18"/>
                <w:szCs w:val="18"/>
              </w:rPr>
              <w:t>2017</w:t>
            </w:r>
            <w:r>
              <w:rPr>
                <w:rFonts w:hint="eastAsia"/>
                <w:bCs/>
                <w:sz w:val="18"/>
                <w:szCs w:val="18"/>
              </w:rPr>
              <w:t>〕</w:t>
            </w:r>
            <w:proofErr w:type="gramEnd"/>
            <w:r>
              <w:rPr>
                <w:rFonts w:hint="eastAsia"/>
                <w:bCs/>
                <w:sz w:val="18"/>
                <w:szCs w:val="18"/>
              </w:rPr>
              <w:t>402</w:t>
            </w:r>
            <w:r>
              <w:rPr>
                <w:rFonts w:hint="eastAsia"/>
                <w:bCs/>
                <w:sz w:val="18"/>
                <w:szCs w:val="18"/>
              </w:rPr>
              <w:t>号）和《国家水利改革发展“十三五”规划》（</w:t>
            </w:r>
            <w:proofErr w:type="gramStart"/>
            <w:r>
              <w:rPr>
                <w:rFonts w:hint="eastAsia"/>
                <w:bCs/>
                <w:sz w:val="18"/>
                <w:szCs w:val="18"/>
              </w:rPr>
              <w:t>发改农经</w:t>
            </w:r>
            <w:proofErr w:type="gramEnd"/>
            <w:r>
              <w:rPr>
                <w:rFonts w:hint="eastAsia"/>
                <w:bCs/>
                <w:sz w:val="18"/>
                <w:szCs w:val="18"/>
              </w:rPr>
              <w:t>〔</w:t>
            </w:r>
            <w:r>
              <w:rPr>
                <w:rFonts w:hint="eastAsia"/>
                <w:bCs/>
                <w:sz w:val="18"/>
                <w:szCs w:val="18"/>
              </w:rPr>
              <w:t>2016</w:t>
            </w:r>
            <w:r>
              <w:rPr>
                <w:rFonts w:hint="eastAsia"/>
                <w:bCs/>
                <w:sz w:val="18"/>
                <w:szCs w:val="18"/>
              </w:rPr>
              <w:t>〕</w:t>
            </w:r>
            <w:r>
              <w:rPr>
                <w:rFonts w:hint="eastAsia"/>
                <w:bCs/>
                <w:sz w:val="18"/>
                <w:szCs w:val="18"/>
              </w:rPr>
              <w:t>2674</w:t>
            </w:r>
            <w:r>
              <w:rPr>
                <w:rFonts w:hint="eastAsia"/>
                <w:bCs/>
                <w:sz w:val="18"/>
                <w:szCs w:val="18"/>
              </w:rPr>
              <w:t>号）。</w:t>
            </w:r>
          </w:p>
          <w:p w:rsidR="005D3CEE" w:rsidRDefault="0058418C">
            <w:pPr>
              <w:autoSpaceDE w:val="0"/>
              <w:autoSpaceDN w:val="0"/>
              <w:adjustRightInd w:val="0"/>
              <w:spacing w:line="276" w:lineRule="auto"/>
              <w:ind w:firstLineChars="100" w:firstLine="180"/>
              <w:rPr>
                <w:bCs/>
                <w:sz w:val="18"/>
                <w:szCs w:val="18"/>
              </w:rPr>
            </w:pPr>
            <w:r>
              <w:rPr>
                <w:rFonts w:hint="eastAsia"/>
                <w:bCs/>
                <w:sz w:val="18"/>
                <w:szCs w:val="18"/>
              </w:rPr>
              <w:t>工程建设内容包括水库枢纽和灌区工程。枢纽工程包括拦河大坝、溢洪道、取水建筑物、</w:t>
            </w:r>
            <w:proofErr w:type="gramStart"/>
            <w:r>
              <w:rPr>
                <w:rFonts w:hint="eastAsia"/>
                <w:bCs/>
                <w:sz w:val="18"/>
                <w:szCs w:val="18"/>
              </w:rPr>
              <w:t>导流放</w:t>
            </w:r>
            <w:proofErr w:type="gramEnd"/>
            <w:r>
              <w:rPr>
                <w:rFonts w:hint="eastAsia"/>
                <w:bCs/>
                <w:sz w:val="18"/>
                <w:szCs w:val="18"/>
              </w:rPr>
              <w:t>空洞等建</w:t>
            </w:r>
            <w:r>
              <w:rPr>
                <w:rFonts w:hint="eastAsia"/>
                <w:bCs/>
                <w:sz w:val="18"/>
                <w:szCs w:val="18"/>
              </w:rPr>
              <w:t>筑物。枢纽工程拦河大坝为混凝土面板堆石坝，坝顶高程</w:t>
            </w:r>
            <w:r>
              <w:rPr>
                <w:rFonts w:hint="eastAsia"/>
                <w:bCs/>
                <w:sz w:val="18"/>
                <w:szCs w:val="18"/>
              </w:rPr>
              <w:t>429.00m</w:t>
            </w:r>
            <w:r>
              <w:rPr>
                <w:rFonts w:hint="eastAsia"/>
                <w:bCs/>
                <w:sz w:val="18"/>
                <w:szCs w:val="18"/>
              </w:rPr>
              <w:t>，最大坝高</w:t>
            </w:r>
            <w:r>
              <w:rPr>
                <w:rFonts w:hint="eastAsia"/>
                <w:bCs/>
                <w:sz w:val="18"/>
                <w:szCs w:val="18"/>
              </w:rPr>
              <w:t>50m</w:t>
            </w:r>
            <w:r>
              <w:rPr>
                <w:rFonts w:hint="eastAsia"/>
                <w:bCs/>
                <w:sz w:val="18"/>
                <w:szCs w:val="18"/>
              </w:rPr>
              <w:t>，坝顶轴线长</w:t>
            </w:r>
            <w:r>
              <w:rPr>
                <w:rFonts w:hint="eastAsia"/>
                <w:bCs/>
                <w:sz w:val="18"/>
                <w:szCs w:val="18"/>
              </w:rPr>
              <w:t>129.00m</w:t>
            </w:r>
            <w:r>
              <w:rPr>
                <w:rFonts w:hint="eastAsia"/>
                <w:bCs/>
                <w:sz w:val="18"/>
                <w:szCs w:val="18"/>
              </w:rPr>
              <w:t>。溢洪道</w:t>
            </w:r>
            <w:proofErr w:type="gramStart"/>
            <w:r>
              <w:rPr>
                <w:rFonts w:hint="eastAsia"/>
                <w:bCs/>
                <w:sz w:val="18"/>
                <w:szCs w:val="18"/>
              </w:rPr>
              <w:t>紧</w:t>
            </w:r>
            <w:r>
              <w:rPr>
                <w:rFonts w:hint="eastAsia"/>
                <w:bCs/>
                <w:sz w:val="18"/>
                <w:szCs w:val="18"/>
              </w:rPr>
              <w:lastRenderedPageBreak/>
              <w:t>靠左坝肩</w:t>
            </w:r>
            <w:proofErr w:type="gramEnd"/>
            <w:r>
              <w:rPr>
                <w:rFonts w:hint="eastAsia"/>
                <w:bCs/>
                <w:sz w:val="18"/>
                <w:szCs w:val="18"/>
              </w:rPr>
              <w:t>布置，由引渠段、控制段（闸室段）、泄槽段、消力</w:t>
            </w:r>
            <w:proofErr w:type="gramStart"/>
            <w:r>
              <w:rPr>
                <w:rFonts w:hint="eastAsia"/>
                <w:bCs/>
                <w:sz w:val="18"/>
                <w:szCs w:val="18"/>
              </w:rPr>
              <w:t>池段及海漫共</w:t>
            </w:r>
            <w:proofErr w:type="gramEnd"/>
            <w:r>
              <w:rPr>
                <w:rFonts w:hint="eastAsia"/>
                <w:bCs/>
                <w:sz w:val="18"/>
                <w:szCs w:val="18"/>
              </w:rPr>
              <w:t>5</w:t>
            </w:r>
            <w:r>
              <w:rPr>
                <w:rFonts w:hint="eastAsia"/>
                <w:bCs/>
                <w:sz w:val="18"/>
                <w:szCs w:val="18"/>
              </w:rPr>
              <w:t>段组成，采用底流消能。取水塔布置于大坝库区右岸，距坝址直线距离约</w:t>
            </w:r>
            <w:r>
              <w:rPr>
                <w:rFonts w:hint="eastAsia"/>
                <w:bCs/>
                <w:sz w:val="18"/>
                <w:szCs w:val="18"/>
              </w:rPr>
              <w:t>250m</w:t>
            </w:r>
            <w:r>
              <w:rPr>
                <w:rFonts w:hint="eastAsia"/>
                <w:bCs/>
                <w:sz w:val="18"/>
                <w:szCs w:val="18"/>
              </w:rPr>
              <w:t>，为矩形塔式取水，设计取水流量为</w:t>
            </w:r>
            <w:r>
              <w:rPr>
                <w:rFonts w:hint="eastAsia"/>
                <w:bCs/>
                <w:sz w:val="18"/>
                <w:szCs w:val="18"/>
              </w:rPr>
              <w:t>2.76m3/s</w:t>
            </w:r>
            <w:r>
              <w:rPr>
                <w:rFonts w:hint="eastAsia"/>
                <w:bCs/>
                <w:sz w:val="18"/>
                <w:szCs w:val="18"/>
              </w:rPr>
              <w:t>，加大流量</w:t>
            </w:r>
            <w:r>
              <w:rPr>
                <w:rFonts w:hint="eastAsia"/>
                <w:bCs/>
                <w:sz w:val="18"/>
                <w:szCs w:val="18"/>
              </w:rPr>
              <w:t>3.59m3/s</w:t>
            </w:r>
            <w:r>
              <w:rPr>
                <w:rFonts w:hint="eastAsia"/>
                <w:bCs/>
                <w:sz w:val="18"/>
                <w:szCs w:val="18"/>
              </w:rPr>
              <w:t>，</w:t>
            </w:r>
            <w:proofErr w:type="gramStart"/>
            <w:r>
              <w:rPr>
                <w:rFonts w:hint="eastAsia"/>
                <w:bCs/>
                <w:sz w:val="18"/>
                <w:szCs w:val="18"/>
              </w:rPr>
              <w:t>由取水塔</w:t>
            </w:r>
            <w:proofErr w:type="gramEnd"/>
            <w:r>
              <w:rPr>
                <w:rFonts w:hint="eastAsia"/>
                <w:bCs/>
                <w:sz w:val="18"/>
                <w:szCs w:val="18"/>
              </w:rPr>
              <w:t>及无压取水隧洞组成，全长</w:t>
            </w:r>
            <w:r>
              <w:rPr>
                <w:rFonts w:hint="eastAsia"/>
                <w:bCs/>
                <w:sz w:val="18"/>
                <w:szCs w:val="18"/>
              </w:rPr>
              <w:t>319.53m</w:t>
            </w:r>
            <w:r>
              <w:rPr>
                <w:rFonts w:hint="eastAsia"/>
                <w:bCs/>
                <w:sz w:val="18"/>
                <w:szCs w:val="18"/>
              </w:rPr>
              <w:t>；取水塔采用分层取水方式布置，共</w:t>
            </w:r>
            <w:r>
              <w:rPr>
                <w:rFonts w:hint="eastAsia"/>
                <w:bCs/>
                <w:sz w:val="18"/>
                <w:szCs w:val="18"/>
              </w:rPr>
              <w:t>3</w:t>
            </w:r>
            <w:r>
              <w:rPr>
                <w:rFonts w:hint="eastAsia"/>
                <w:bCs/>
                <w:sz w:val="18"/>
                <w:szCs w:val="18"/>
              </w:rPr>
              <w:t>层，</w:t>
            </w:r>
            <w:proofErr w:type="gramStart"/>
            <w:r>
              <w:rPr>
                <w:rFonts w:hint="eastAsia"/>
                <w:bCs/>
                <w:sz w:val="18"/>
                <w:szCs w:val="18"/>
              </w:rPr>
              <w:t>由呈阶梯式</w:t>
            </w:r>
            <w:proofErr w:type="gramEnd"/>
            <w:r>
              <w:rPr>
                <w:rFonts w:hint="eastAsia"/>
                <w:bCs/>
                <w:sz w:val="18"/>
                <w:szCs w:val="18"/>
              </w:rPr>
              <w:t>分布的取水闸门控制，各层取水进口底板高程间距为</w:t>
            </w:r>
            <w:r>
              <w:rPr>
                <w:rFonts w:hint="eastAsia"/>
                <w:bCs/>
                <w:sz w:val="18"/>
                <w:szCs w:val="18"/>
              </w:rPr>
              <w:t>8.00m</w:t>
            </w:r>
            <w:r>
              <w:rPr>
                <w:rFonts w:hint="eastAsia"/>
                <w:bCs/>
                <w:sz w:val="18"/>
                <w:szCs w:val="18"/>
              </w:rPr>
              <w:t>。底层取水进口底板高程</w:t>
            </w:r>
            <w:r>
              <w:rPr>
                <w:rFonts w:hint="eastAsia"/>
                <w:bCs/>
                <w:sz w:val="18"/>
                <w:szCs w:val="18"/>
              </w:rPr>
              <w:t>403.</w:t>
            </w:r>
            <w:r>
              <w:rPr>
                <w:rFonts w:hint="eastAsia"/>
                <w:bCs/>
                <w:sz w:val="18"/>
                <w:szCs w:val="18"/>
              </w:rPr>
              <w:t>00m</w:t>
            </w:r>
            <w:r>
              <w:rPr>
                <w:rFonts w:hint="eastAsia"/>
                <w:bCs/>
                <w:sz w:val="18"/>
                <w:szCs w:val="18"/>
              </w:rPr>
              <w:t>，中间层取水进口底板高程</w:t>
            </w:r>
            <w:r>
              <w:rPr>
                <w:rFonts w:hint="eastAsia"/>
                <w:bCs/>
                <w:sz w:val="18"/>
                <w:szCs w:val="18"/>
              </w:rPr>
              <w:t>411.00m</w:t>
            </w:r>
            <w:r>
              <w:rPr>
                <w:rFonts w:hint="eastAsia"/>
                <w:bCs/>
                <w:sz w:val="18"/>
                <w:szCs w:val="18"/>
              </w:rPr>
              <w:t>，顶层取水进口底板高程为</w:t>
            </w:r>
            <w:r>
              <w:rPr>
                <w:rFonts w:hint="eastAsia"/>
                <w:bCs/>
                <w:sz w:val="18"/>
                <w:szCs w:val="18"/>
              </w:rPr>
              <w:t>419.00m</w:t>
            </w:r>
            <w:r>
              <w:rPr>
                <w:rFonts w:hint="eastAsia"/>
                <w:bCs/>
                <w:sz w:val="18"/>
                <w:szCs w:val="18"/>
              </w:rPr>
              <w:t>。放空建筑物结合导流洞布置于右岸，采用岸塔式结构，由矩形放空塔、放空管、放空洞等组成，最大放空流量为</w:t>
            </w:r>
            <w:r>
              <w:rPr>
                <w:rFonts w:hint="eastAsia"/>
                <w:bCs/>
                <w:sz w:val="18"/>
                <w:szCs w:val="18"/>
              </w:rPr>
              <w:t>4.10m3/s</w:t>
            </w:r>
            <w:r>
              <w:rPr>
                <w:rFonts w:hint="eastAsia"/>
                <w:bCs/>
                <w:sz w:val="18"/>
                <w:szCs w:val="18"/>
              </w:rPr>
              <w:t>。生态流量下泄管布置在水库放空闸室侧壁及隧洞侧壁，通过埋设</w:t>
            </w:r>
            <w:r>
              <w:rPr>
                <w:rFonts w:hint="eastAsia"/>
                <w:bCs/>
                <w:sz w:val="18"/>
                <w:szCs w:val="18"/>
              </w:rPr>
              <w:t>1</w:t>
            </w:r>
            <w:r>
              <w:rPr>
                <w:rFonts w:hint="eastAsia"/>
                <w:bCs/>
                <w:sz w:val="18"/>
                <w:szCs w:val="18"/>
              </w:rPr>
              <w:t>根</w:t>
            </w:r>
            <w:r>
              <w:rPr>
                <w:rFonts w:hint="eastAsia"/>
                <w:bCs/>
                <w:sz w:val="18"/>
                <w:szCs w:val="18"/>
              </w:rPr>
              <w:t>DN200</w:t>
            </w:r>
            <w:r>
              <w:rPr>
                <w:rFonts w:hint="eastAsia"/>
                <w:bCs/>
                <w:sz w:val="18"/>
                <w:szCs w:val="18"/>
              </w:rPr>
              <w:t>生态放水钢管至放空洞出口，末端设</w:t>
            </w:r>
            <w:r>
              <w:rPr>
                <w:rFonts w:hint="eastAsia"/>
                <w:bCs/>
                <w:sz w:val="18"/>
                <w:szCs w:val="18"/>
              </w:rPr>
              <w:t>DN200</w:t>
            </w:r>
            <w:r>
              <w:rPr>
                <w:rFonts w:hint="eastAsia"/>
                <w:bCs/>
                <w:sz w:val="18"/>
                <w:szCs w:val="18"/>
              </w:rPr>
              <w:t>偏心半球阀置于阀井内。水库建成后，正常蓄水位</w:t>
            </w:r>
            <w:r>
              <w:rPr>
                <w:rFonts w:hint="eastAsia"/>
                <w:bCs/>
                <w:sz w:val="18"/>
                <w:szCs w:val="18"/>
              </w:rPr>
              <w:t>427m</w:t>
            </w:r>
            <w:r>
              <w:rPr>
                <w:rFonts w:hint="eastAsia"/>
                <w:bCs/>
                <w:sz w:val="18"/>
                <w:szCs w:val="18"/>
              </w:rPr>
              <w:t>，相应库容</w:t>
            </w:r>
            <w:r>
              <w:rPr>
                <w:rFonts w:hint="eastAsia"/>
                <w:bCs/>
                <w:sz w:val="18"/>
                <w:szCs w:val="18"/>
              </w:rPr>
              <w:t>1072</w:t>
            </w:r>
            <w:r>
              <w:rPr>
                <w:rFonts w:hint="eastAsia"/>
                <w:bCs/>
                <w:sz w:val="18"/>
                <w:szCs w:val="18"/>
              </w:rPr>
              <w:t>万</w:t>
            </w:r>
            <w:r>
              <w:rPr>
                <w:rFonts w:hint="eastAsia"/>
                <w:bCs/>
                <w:sz w:val="18"/>
                <w:szCs w:val="18"/>
              </w:rPr>
              <w:t>m3</w:t>
            </w:r>
            <w:r>
              <w:rPr>
                <w:rFonts w:hint="eastAsia"/>
                <w:bCs/>
                <w:sz w:val="18"/>
                <w:szCs w:val="18"/>
              </w:rPr>
              <w:t>，调节库容</w:t>
            </w:r>
            <w:r>
              <w:rPr>
                <w:rFonts w:hint="eastAsia"/>
                <w:bCs/>
                <w:sz w:val="18"/>
                <w:szCs w:val="18"/>
              </w:rPr>
              <w:t>909</w:t>
            </w:r>
            <w:r>
              <w:rPr>
                <w:rFonts w:hint="eastAsia"/>
                <w:bCs/>
                <w:sz w:val="18"/>
                <w:szCs w:val="18"/>
              </w:rPr>
              <w:t>万</w:t>
            </w:r>
            <w:r>
              <w:rPr>
                <w:rFonts w:hint="eastAsia"/>
                <w:bCs/>
                <w:sz w:val="18"/>
                <w:szCs w:val="18"/>
              </w:rPr>
              <w:t>m3</w:t>
            </w:r>
            <w:r>
              <w:rPr>
                <w:rFonts w:hint="eastAsia"/>
                <w:bCs/>
                <w:sz w:val="18"/>
                <w:szCs w:val="18"/>
              </w:rPr>
              <w:t>，校核洪水位</w:t>
            </w:r>
            <w:r>
              <w:rPr>
                <w:rFonts w:hint="eastAsia"/>
                <w:bCs/>
                <w:sz w:val="18"/>
                <w:szCs w:val="18"/>
              </w:rPr>
              <w:t>428.39m</w:t>
            </w:r>
            <w:r>
              <w:rPr>
                <w:rFonts w:hint="eastAsia"/>
                <w:bCs/>
                <w:sz w:val="18"/>
                <w:szCs w:val="18"/>
              </w:rPr>
              <w:t>，</w:t>
            </w:r>
            <w:r>
              <w:rPr>
                <w:rFonts w:hint="eastAsia"/>
                <w:bCs/>
                <w:sz w:val="18"/>
                <w:szCs w:val="18"/>
              </w:rPr>
              <w:lastRenderedPageBreak/>
              <w:t>总库容</w:t>
            </w:r>
            <w:r>
              <w:rPr>
                <w:rFonts w:hint="eastAsia"/>
                <w:bCs/>
                <w:sz w:val="18"/>
                <w:szCs w:val="18"/>
              </w:rPr>
              <w:t>1198.2</w:t>
            </w:r>
            <w:r>
              <w:rPr>
                <w:rFonts w:hint="eastAsia"/>
                <w:bCs/>
                <w:sz w:val="18"/>
                <w:szCs w:val="18"/>
              </w:rPr>
              <w:t>万</w:t>
            </w:r>
            <w:r>
              <w:rPr>
                <w:rFonts w:hint="eastAsia"/>
                <w:bCs/>
                <w:sz w:val="18"/>
                <w:szCs w:val="18"/>
              </w:rPr>
              <w:t>m3</w:t>
            </w:r>
            <w:r>
              <w:rPr>
                <w:rFonts w:hint="eastAsia"/>
                <w:bCs/>
                <w:sz w:val="18"/>
                <w:szCs w:val="18"/>
              </w:rPr>
              <w:t>，具有多年调节性能。</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灌区工程由</w:t>
            </w:r>
            <w:r>
              <w:rPr>
                <w:rFonts w:hint="eastAsia"/>
                <w:bCs/>
                <w:sz w:val="18"/>
                <w:szCs w:val="18"/>
              </w:rPr>
              <w:t>1</w:t>
            </w:r>
            <w:r>
              <w:rPr>
                <w:rFonts w:hint="eastAsia"/>
                <w:bCs/>
                <w:sz w:val="18"/>
                <w:szCs w:val="18"/>
              </w:rPr>
              <w:t>条干渠和</w:t>
            </w:r>
            <w:r>
              <w:rPr>
                <w:rFonts w:hint="eastAsia"/>
                <w:bCs/>
                <w:sz w:val="18"/>
                <w:szCs w:val="18"/>
              </w:rPr>
              <w:t>7</w:t>
            </w:r>
            <w:r>
              <w:rPr>
                <w:rFonts w:hint="eastAsia"/>
                <w:bCs/>
                <w:sz w:val="18"/>
                <w:szCs w:val="18"/>
              </w:rPr>
              <w:t>条支渠</w:t>
            </w:r>
            <w:r>
              <w:rPr>
                <w:rFonts w:hint="eastAsia"/>
                <w:bCs/>
                <w:sz w:val="18"/>
                <w:szCs w:val="18"/>
              </w:rPr>
              <w:t>（其中灌溉面积万亩以上支渠</w:t>
            </w:r>
            <w:r>
              <w:rPr>
                <w:rFonts w:hint="eastAsia"/>
                <w:bCs/>
                <w:sz w:val="18"/>
                <w:szCs w:val="18"/>
              </w:rPr>
              <w:t>1</w:t>
            </w:r>
            <w:r>
              <w:rPr>
                <w:rFonts w:hint="eastAsia"/>
                <w:bCs/>
                <w:sz w:val="18"/>
                <w:szCs w:val="18"/>
              </w:rPr>
              <w:t>条）组成，干渠纳入主体工程设计，支渠等末级渠系为田间配套工程。干渠渠首设计流量</w:t>
            </w:r>
            <w:r>
              <w:rPr>
                <w:rFonts w:hint="eastAsia"/>
                <w:bCs/>
                <w:sz w:val="18"/>
                <w:szCs w:val="18"/>
              </w:rPr>
              <w:t>2.76m3/s</w:t>
            </w:r>
            <w:r>
              <w:rPr>
                <w:rFonts w:hint="eastAsia"/>
                <w:bCs/>
                <w:sz w:val="18"/>
                <w:szCs w:val="18"/>
              </w:rPr>
              <w:t>，加大流量</w:t>
            </w:r>
            <w:r>
              <w:rPr>
                <w:rFonts w:hint="eastAsia"/>
                <w:bCs/>
                <w:sz w:val="18"/>
                <w:szCs w:val="18"/>
              </w:rPr>
              <w:t>3.59m3/s</w:t>
            </w:r>
            <w:r>
              <w:rPr>
                <w:rFonts w:hint="eastAsia"/>
                <w:bCs/>
                <w:sz w:val="18"/>
                <w:szCs w:val="18"/>
              </w:rPr>
              <w:t>，采用盖板涵、暗渠、隧洞和渡槽输水。渠首接取水隧洞出口，向西经过杉树沟、松树堡、烂朝门，经曹家山隧洞至安仁河岸边，在民心桥下游由安仁河渡槽跨过安仁河，之后干渠向西至郭家湾、堰塘湾、谭家院子；过邓家院子后干渠一路向北，经邓家坡隧洞至学堂坝，过小路槽后由隧洞</w:t>
            </w:r>
            <w:proofErr w:type="gramStart"/>
            <w:r>
              <w:rPr>
                <w:rFonts w:hint="eastAsia"/>
                <w:bCs/>
                <w:sz w:val="18"/>
                <w:szCs w:val="18"/>
              </w:rPr>
              <w:t>穿帽盒山</w:t>
            </w:r>
            <w:proofErr w:type="gramEnd"/>
            <w:r>
              <w:rPr>
                <w:rFonts w:hint="eastAsia"/>
                <w:bCs/>
                <w:sz w:val="18"/>
                <w:szCs w:val="18"/>
              </w:rPr>
              <w:t>至陈家沟水库</w:t>
            </w:r>
            <w:proofErr w:type="gramStart"/>
            <w:r>
              <w:rPr>
                <w:rFonts w:hint="eastAsia"/>
                <w:bCs/>
                <w:sz w:val="18"/>
                <w:szCs w:val="18"/>
              </w:rPr>
              <w:t>库</w:t>
            </w:r>
            <w:proofErr w:type="gramEnd"/>
            <w:r>
              <w:rPr>
                <w:rFonts w:hint="eastAsia"/>
                <w:bCs/>
                <w:sz w:val="18"/>
                <w:szCs w:val="18"/>
              </w:rPr>
              <w:t>岸，之后干渠向西由隧洞穿过寨子垭口、王家垭口至唐家边附近结束。干渠全长</w:t>
            </w:r>
            <w:r>
              <w:rPr>
                <w:rFonts w:hint="eastAsia"/>
                <w:bCs/>
                <w:sz w:val="18"/>
                <w:szCs w:val="18"/>
              </w:rPr>
              <w:t>11389.33m</w:t>
            </w:r>
            <w:r>
              <w:rPr>
                <w:rFonts w:hint="eastAsia"/>
                <w:bCs/>
                <w:sz w:val="18"/>
                <w:szCs w:val="18"/>
              </w:rPr>
              <w:t>，其中布置</w:t>
            </w:r>
            <w:r>
              <w:rPr>
                <w:rFonts w:hint="eastAsia"/>
                <w:bCs/>
                <w:sz w:val="18"/>
                <w:szCs w:val="18"/>
              </w:rPr>
              <w:t>11</w:t>
            </w:r>
            <w:r>
              <w:rPr>
                <w:rFonts w:hint="eastAsia"/>
                <w:bCs/>
                <w:sz w:val="18"/>
                <w:szCs w:val="18"/>
              </w:rPr>
              <w:t>段盖板涵，共</w:t>
            </w:r>
            <w:r>
              <w:rPr>
                <w:rFonts w:hint="eastAsia"/>
                <w:bCs/>
                <w:sz w:val="18"/>
                <w:szCs w:val="18"/>
              </w:rPr>
              <w:t>1777.43m</w:t>
            </w:r>
            <w:r>
              <w:rPr>
                <w:rFonts w:hint="eastAsia"/>
                <w:bCs/>
                <w:sz w:val="18"/>
                <w:szCs w:val="18"/>
              </w:rPr>
              <w:t>；布置</w:t>
            </w:r>
            <w:r>
              <w:rPr>
                <w:rFonts w:hint="eastAsia"/>
                <w:bCs/>
                <w:sz w:val="18"/>
                <w:szCs w:val="18"/>
              </w:rPr>
              <w:t>10</w:t>
            </w:r>
            <w:r>
              <w:rPr>
                <w:rFonts w:hint="eastAsia"/>
                <w:bCs/>
                <w:sz w:val="18"/>
                <w:szCs w:val="18"/>
              </w:rPr>
              <w:t>段暗渠，共</w:t>
            </w:r>
            <w:r>
              <w:rPr>
                <w:rFonts w:hint="eastAsia"/>
                <w:bCs/>
                <w:sz w:val="18"/>
                <w:szCs w:val="18"/>
              </w:rPr>
              <w:t>912.62m</w:t>
            </w:r>
            <w:r>
              <w:rPr>
                <w:rFonts w:hint="eastAsia"/>
                <w:bCs/>
                <w:sz w:val="18"/>
                <w:szCs w:val="18"/>
              </w:rPr>
              <w:t>；布置</w:t>
            </w:r>
            <w:r>
              <w:rPr>
                <w:rFonts w:hint="eastAsia"/>
                <w:bCs/>
                <w:sz w:val="18"/>
                <w:szCs w:val="18"/>
              </w:rPr>
              <w:t>5</w:t>
            </w:r>
            <w:r>
              <w:rPr>
                <w:rFonts w:hint="eastAsia"/>
                <w:bCs/>
                <w:sz w:val="18"/>
                <w:szCs w:val="18"/>
              </w:rPr>
              <w:t>座渡槽，共</w:t>
            </w:r>
            <w:r>
              <w:rPr>
                <w:rFonts w:hint="eastAsia"/>
                <w:bCs/>
                <w:sz w:val="18"/>
                <w:szCs w:val="18"/>
              </w:rPr>
              <w:t>745.17m</w:t>
            </w:r>
            <w:r>
              <w:rPr>
                <w:rFonts w:hint="eastAsia"/>
                <w:bCs/>
                <w:sz w:val="18"/>
                <w:szCs w:val="18"/>
              </w:rPr>
              <w:t>；布置</w:t>
            </w:r>
            <w:r>
              <w:rPr>
                <w:rFonts w:hint="eastAsia"/>
                <w:bCs/>
                <w:sz w:val="18"/>
                <w:szCs w:val="18"/>
              </w:rPr>
              <w:t>7</w:t>
            </w:r>
            <w:r>
              <w:rPr>
                <w:rFonts w:hint="eastAsia"/>
                <w:bCs/>
                <w:sz w:val="18"/>
                <w:szCs w:val="18"/>
              </w:rPr>
              <w:t>座隧洞，共</w:t>
            </w:r>
            <w:r>
              <w:rPr>
                <w:rFonts w:hint="eastAsia"/>
                <w:bCs/>
                <w:sz w:val="18"/>
                <w:szCs w:val="18"/>
              </w:rPr>
              <w:t>7954.11m</w:t>
            </w:r>
            <w:r>
              <w:rPr>
                <w:rFonts w:hint="eastAsia"/>
                <w:bCs/>
                <w:sz w:val="18"/>
                <w:szCs w:val="18"/>
              </w:rPr>
              <w:t>，小型建筑物</w:t>
            </w:r>
            <w:r>
              <w:rPr>
                <w:rFonts w:hint="eastAsia"/>
                <w:bCs/>
                <w:sz w:val="18"/>
                <w:szCs w:val="18"/>
              </w:rPr>
              <w:t>32</w:t>
            </w:r>
            <w:r>
              <w:rPr>
                <w:rFonts w:hint="eastAsia"/>
                <w:bCs/>
                <w:sz w:val="18"/>
                <w:szCs w:val="18"/>
              </w:rPr>
              <w:t>座。</w:t>
            </w:r>
          </w:p>
          <w:p w:rsidR="005D3CEE" w:rsidRDefault="0058418C">
            <w:pPr>
              <w:autoSpaceDE w:val="0"/>
              <w:autoSpaceDN w:val="0"/>
              <w:adjustRightInd w:val="0"/>
              <w:spacing w:line="276" w:lineRule="auto"/>
              <w:ind w:firstLineChars="200" w:firstLine="360"/>
              <w:rPr>
                <w:rFonts w:ascii="Times New Roman" w:hAnsi="Times New Roman" w:cs="Times New Roman"/>
                <w:kern w:val="0"/>
                <w:sz w:val="18"/>
                <w:szCs w:val="18"/>
              </w:rPr>
            </w:pPr>
            <w:r>
              <w:rPr>
                <w:rFonts w:hint="eastAsia"/>
                <w:bCs/>
                <w:sz w:val="18"/>
                <w:szCs w:val="18"/>
              </w:rPr>
              <w:t>工程总工期</w:t>
            </w:r>
            <w:r>
              <w:rPr>
                <w:rFonts w:hint="eastAsia"/>
                <w:bCs/>
                <w:sz w:val="18"/>
                <w:szCs w:val="18"/>
              </w:rPr>
              <w:t>29</w:t>
            </w:r>
            <w:r>
              <w:rPr>
                <w:rFonts w:hint="eastAsia"/>
                <w:bCs/>
                <w:sz w:val="18"/>
                <w:szCs w:val="18"/>
              </w:rPr>
              <w:t>个月，其中枢纽工</w:t>
            </w:r>
            <w:r>
              <w:rPr>
                <w:rFonts w:hint="eastAsia"/>
                <w:bCs/>
                <w:sz w:val="18"/>
                <w:szCs w:val="18"/>
              </w:rPr>
              <w:lastRenderedPageBreak/>
              <w:t>程施工工期</w:t>
            </w:r>
            <w:r>
              <w:rPr>
                <w:rFonts w:hint="eastAsia"/>
                <w:bCs/>
                <w:sz w:val="18"/>
                <w:szCs w:val="18"/>
              </w:rPr>
              <w:t>29</w:t>
            </w:r>
            <w:r>
              <w:rPr>
                <w:rFonts w:hint="eastAsia"/>
                <w:bCs/>
                <w:sz w:val="18"/>
                <w:szCs w:val="18"/>
              </w:rPr>
              <w:t>个月，灌区工程施工工期</w:t>
            </w:r>
            <w:r>
              <w:rPr>
                <w:rFonts w:hint="eastAsia"/>
                <w:bCs/>
                <w:sz w:val="18"/>
                <w:szCs w:val="18"/>
              </w:rPr>
              <w:t>26</w:t>
            </w:r>
            <w:r>
              <w:rPr>
                <w:rFonts w:hint="eastAsia"/>
                <w:bCs/>
                <w:sz w:val="18"/>
                <w:szCs w:val="18"/>
              </w:rPr>
              <w:t>个月。工程静态总投资</w:t>
            </w:r>
            <w:r>
              <w:rPr>
                <w:rFonts w:hint="eastAsia"/>
                <w:bCs/>
                <w:sz w:val="18"/>
                <w:szCs w:val="18"/>
              </w:rPr>
              <w:t>80001.88</w:t>
            </w:r>
            <w:r>
              <w:rPr>
                <w:rFonts w:hint="eastAsia"/>
                <w:bCs/>
                <w:sz w:val="18"/>
                <w:szCs w:val="18"/>
              </w:rPr>
              <w:t>万元，环境保护投资</w:t>
            </w:r>
            <w:r>
              <w:rPr>
                <w:rFonts w:hint="eastAsia"/>
                <w:bCs/>
                <w:sz w:val="18"/>
                <w:szCs w:val="18"/>
              </w:rPr>
              <w:t>1246.25</w:t>
            </w:r>
            <w:r>
              <w:rPr>
                <w:rFonts w:hint="eastAsia"/>
                <w:bCs/>
                <w:sz w:val="18"/>
                <w:szCs w:val="18"/>
              </w:rPr>
              <w:t>万元，占工程静态总投资的</w:t>
            </w:r>
            <w:r>
              <w:rPr>
                <w:rFonts w:hint="eastAsia"/>
                <w:bCs/>
                <w:sz w:val="18"/>
                <w:szCs w:val="18"/>
              </w:rPr>
              <w:t>1.56%</w:t>
            </w:r>
            <w:r>
              <w:rPr>
                <w:rFonts w:hint="eastAsia"/>
                <w:bCs/>
                <w:sz w:val="18"/>
                <w:szCs w:val="18"/>
              </w:rPr>
              <w:t>。</w:t>
            </w:r>
          </w:p>
        </w:tc>
        <w:tc>
          <w:tcPr>
            <w:tcW w:w="5282" w:type="dxa"/>
            <w:vAlign w:val="center"/>
          </w:tcPr>
          <w:p w:rsidR="005D3CEE" w:rsidRDefault="0058418C">
            <w:pPr>
              <w:adjustRightInd w:val="0"/>
              <w:snapToGrid w:val="0"/>
              <w:rPr>
                <w:rFonts w:ascii="Times New Roman" w:eastAsia="宋体" w:hAnsi="Times New Roman" w:cs="Times New Roman"/>
                <w:b/>
                <w:bCs/>
              </w:rPr>
            </w:pPr>
            <w:r>
              <w:rPr>
                <w:rFonts w:ascii="Times New Roman" w:eastAsia="宋体" w:hAnsi="Times New Roman" w:cs="Times New Roman" w:hint="eastAsia"/>
                <w:b/>
                <w:bCs/>
              </w:rPr>
              <w:lastRenderedPageBreak/>
              <w:t>一、施工期环境保护措施</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1.</w:t>
            </w:r>
            <w:r>
              <w:rPr>
                <w:rFonts w:hint="eastAsia"/>
                <w:bCs/>
                <w:sz w:val="18"/>
                <w:szCs w:val="18"/>
              </w:rPr>
              <w:t>生态保护措施</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通过优化施工工程布置、严格限制施工范围，尽量减少耕地和林地占用；设置生态环境保护警示牌，加强施工期环境保护管理及宣传教育，严禁施工人员随意砍伐树木、禁止捕猎野生动物；施工前做好表土剥离并妥善堆存，施工结束后及时对施工迹地进行生态恢复，防范外来生物入侵；实施水土保持分区防治；加强施工过程环境管理，减缓工程施工对陆生生态环境的影响。</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施工期加强宣传教育，严禁非法捕捞作业，对强噪声</w:t>
            </w:r>
            <w:proofErr w:type="gramStart"/>
            <w:r>
              <w:rPr>
                <w:rFonts w:hint="eastAsia"/>
                <w:bCs/>
                <w:sz w:val="18"/>
                <w:szCs w:val="18"/>
              </w:rPr>
              <w:t>源设置控</w:t>
            </w:r>
            <w:proofErr w:type="gramEnd"/>
            <w:r>
              <w:rPr>
                <w:rFonts w:hint="eastAsia"/>
                <w:bCs/>
                <w:sz w:val="18"/>
                <w:szCs w:val="18"/>
              </w:rPr>
              <w:t>噪装置，禁止夜间爆破，并开展水生生物监测，减缓对鱼类造成的不利影响。</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2.</w:t>
            </w:r>
            <w:r>
              <w:rPr>
                <w:rFonts w:hint="eastAsia"/>
                <w:bCs/>
                <w:sz w:val="18"/>
                <w:szCs w:val="18"/>
              </w:rPr>
              <w:t>大气污染防治措施</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优化爆破方式，采用湿法作业；混凝土</w:t>
            </w:r>
            <w:r>
              <w:rPr>
                <w:rFonts w:hint="eastAsia"/>
                <w:bCs/>
                <w:sz w:val="18"/>
                <w:szCs w:val="18"/>
              </w:rPr>
              <w:t>拌和系统采用全密闭结构，并配备除尘设备；加强施工路面养护，车辆封闭运输并采取洒水降尘等措施；在各工区进出口设置车辆冲洗台（含沉淀、循环水池）；在易产生扬尘的施工设置围挡和喷雾、喷淋装置，对固定喷淋装置无法覆盖的区域，增设移动式雾炮，控制和减小施工扬尘对周围环境的影响。</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3.</w:t>
            </w:r>
            <w:r>
              <w:rPr>
                <w:rFonts w:hint="eastAsia"/>
                <w:bCs/>
                <w:sz w:val="18"/>
                <w:szCs w:val="18"/>
              </w:rPr>
              <w:t>废水处理措施</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混凝土生产系统冲洗废水经沉淀后回用于系统冲洗；机械冲</w:t>
            </w:r>
            <w:r>
              <w:rPr>
                <w:rFonts w:hint="eastAsia"/>
                <w:bCs/>
                <w:sz w:val="18"/>
                <w:szCs w:val="18"/>
              </w:rPr>
              <w:lastRenderedPageBreak/>
              <w:t>洗及车辆保养废水采用隔油沉淀法处理后回用于车辆冲洗；枢纽工程营地生活污水采用一体化生活污水处理设备，经处理达到《污水综合排放标准》（</w:t>
            </w:r>
            <w:r>
              <w:rPr>
                <w:rFonts w:hint="eastAsia"/>
                <w:bCs/>
                <w:sz w:val="18"/>
                <w:szCs w:val="18"/>
              </w:rPr>
              <w:t>GB8978-1996</w:t>
            </w:r>
            <w:r>
              <w:rPr>
                <w:rFonts w:hint="eastAsia"/>
                <w:bCs/>
                <w:sz w:val="18"/>
                <w:szCs w:val="18"/>
              </w:rPr>
              <w:t>）一级标准后排入支</w:t>
            </w:r>
            <w:r>
              <w:rPr>
                <w:rFonts w:hint="eastAsia"/>
                <w:bCs/>
                <w:sz w:val="18"/>
                <w:szCs w:val="18"/>
              </w:rPr>
              <w:t>沟（不属铁山沟流域），灌区工程施工场地较分散，租用沿线现有民房，施工人员生活污水利用既有环保设施收集处理；基坑</w:t>
            </w:r>
            <w:proofErr w:type="gramStart"/>
            <w:r>
              <w:rPr>
                <w:rFonts w:hint="eastAsia"/>
                <w:bCs/>
                <w:sz w:val="18"/>
                <w:szCs w:val="18"/>
              </w:rPr>
              <w:t>水采</w:t>
            </w:r>
            <w:proofErr w:type="gramEnd"/>
            <w:r>
              <w:rPr>
                <w:rFonts w:hint="eastAsia"/>
                <w:bCs/>
                <w:sz w:val="18"/>
                <w:szCs w:val="18"/>
              </w:rPr>
              <w:t>用沉淀法处理后用于混凝土养护、洒水降尘，上述废水均不外排。隧洞施工过程中采取有效的超前探水预报、封堵控制、疏导措施，隧洞排水经沉淀处理后回用于施工生产用水、农林灌溉用水。</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4.</w:t>
            </w:r>
            <w:r>
              <w:rPr>
                <w:rFonts w:hint="eastAsia"/>
                <w:bCs/>
                <w:sz w:val="18"/>
                <w:szCs w:val="18"/>
              </w:rPr>
              <w:t>噪声污染防治措施</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通过选用低噪声设备、合理安排施工时间、优化施工布置及方式、加强环境管理等措施，控制和减小施工噪声对周围环境的影响。</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5.</w:t>
            </w:r>
            <w:r>
              <w:rPr>
                <w:rFonts w:hint="eastAsia"/>
                <w:bCs/>
                <w:sz w:val="18"/>
                <w:szCs w:val="18"/>
              </w:rPr>
              <w:t>固</w:t>
            </w:r>
            <w:proofErr w:type="gramStart"/>
            <w:r>
              <w:rPr>
                <w:rFonts w:hint="eastAsia"/>
                <w:bCs/>
                <w:sz w:val="18"/>
                <w:szCs w:val="18"/>
              </w:rPr>
              <w:t>废污染</w:t>
            </w:r>
            <w:proofErr w:type="gramEnd"/>
            <w:r>
              <w:rPr>
                <w:rFonts w:hint="eastAsia"/>
                <w:bCs/>
                <w:sz w:val="18"/>
                <w:szCs w:val="18"/>
              </w:rPr>
              <w:t>防治措施</w:t>
            </w:r>
          </w:p>
          <w:p w:rsidR="005D3CEE" w:rsidRDefault="0058418C">
            <w:pPr>
              <w:autoSpaceDE w:val="0"/>
              <w:autoSpaceDN w:val="0"/>
              <w:adjustRightInd w:val="0"/>
              <w:spacing w:line="276" w:lineRule="auto"/>
              <w:ind w:firstLineChars="200" w:firstLine="360"/>
              <w:rPr>
                <w:rFonts w:ascii="黑体" w:eastAsia="黑体" w:hAnsi="黑体"/>
                <w:sz w:val="24"/>
              </w:rPr>
            </w:pPr>
            <w:r>
              <w:rPr>
                <w:rFonts w:hint="eastAsia"/>
                <w:bCs/>
                <w:sz w:val="18"/>
                <w:szCs w:val="18"/>
              </w:rPr>
              <w:t>工程弃渣及时</w:t>
            </w:r>
            <w:proofErr w:type="gramStart"/>
            <w:r>
              <w:rPr>
                <w:rFonts w:hint="eastAsia"/>
                <w:bCs/>
                <w:sz w:val="18"/>
                <w:szCs w:val="18"/>
              </w:rPr>
              <w:t>清运至弃渣场</w:t>
            </w:r>
            <w:proofErr w:type="gramEnd"/>
            <w:r>
              <w:rPr>
                <w:rFonts w:hint="eastAsia"/>
                <w:bCs/>
                <w:sz w:val="18"/>
                <w:szCs w:val="18"/>
              </w:rPr>
              <w:t>堆存，并及时对渣场进行植被恢复。生活垃圾及</w:t>
            </w:r>
            <w:r>
              <w:rPr>
                <w:rFonts w:hint="eastAsia"/>
                <w:bCs/>
                <w:sz w:val="18"/>
                <w:szCs w:val="18"/>
              </w:rPr>
              <w:t>时收集并委托当地环卫部门清运处理。废油等危险废物送有相应资质单位处置。</w:t>
            </w:r>
          </w:p>
          <w:p w:rsidR="005D3CEE" w:rsidRDefault="0058418C">
            <w:pPr>
              <w:adjustRightInd w:val="0"/>
              <w:snapToGrid w:val="0"/>
              <w:rPr>
                <w:rFonts w:ascii="Times New Roman" w:eastAsia="宋体" w:hAnsi="Times New Roman" w:cs="Times New Roman"/>
                <w:b/>
              </w:rPr>
            </w:pPr>
            <w:r>
              <w:rPr>
                <w:rFonts w:ascii="Times New Roman" w:eastAsia="宋体" w:hAnsi="Times New Roman" w:cs="Times New Roman" w:hint="eastAsia"/>
                <w:b/>
                <w:bCs/>
              </w:rPr>
              <w:t>二、营运期环境保护措施</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运行期生活污水采用一体化生活污水处理设备，经处理达到《农田灌溉水质标准》（</w:t>
            </w:r>
            <w:r>
              <w:rPr>
                <w:rFonts w:hint="eastAsia"/>
                <w:bCs/>
                <w:sz w:val="18"/>
                <w:szCs w:val="18"/>
              </w:rPr>
              <w:t>GB5084-2021</w:t>
            </w:r>
            <w:r>
              <w:rPr>
                <w:rFonts w:hint="eastAsia"/>
                <w:bCs/>
                <w:sz w:val="18"/>
                <w:szCs w:val="18"/>
              </w:rPr>
              <w:t>）水田作物标准后回用于农林灌溉；</w:t>
            </w:r>
            <w:proofErr w:type="gramStart"/>
            <w:r>
              <w:rPr>
                <w:rFonts w:hint="eastAsia"/>
                <w:bCs/>
                <w:sz w:val="18"/>
                <w:szCs w:val="18"/>
              </w:rPr>
              <w:t>设置危废暂存</w:t>
            </w:r>
            <w:proofErr w:type="gramEnd"/>
            <w:r>
              <w:rPr>
                <w:rFonts w:hint="eastAsia"/>
                <w:bCs/>
                <w:sz w:val="18"/>
                <w:szCs w:val="18"/>
              </w:rPr>
              <w:t>间，暂存设备维修与保养废油、油污手套等危险废物，定期交有相应资质单位处置。</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初期蓄水和运行期下泄不低于</w:t>
            </w:r>
            <w:r>
              <w:rPr>
                <w:rFonts w:hint="eastAsia"/>
                <w:bCs/>
                <w:sz w:val="18"/>
                <w:szCs w:val="18"/>
              </w:rPr>
              <w:t>0.051m</w:t>
            </w:r>
            <w:r>
              <w:rPr>
                <w:rFonts w:hint="eastAsia"/>
                <w:bCs/>
                <w:sz w:val="18"/>
                <w:szCs w:val="18"/>
              </w:rPr>
              <w:t>³</w:t>
            </w:r>
            <w:r>
              <w:rPr>
                <w:rFonts w:hint="eastAsia"/>
                <w:bCs/>
                <w:sz w:val="18"/>
                <w:szCs w:val="18"/>
              </w:rPr>
              <w:t>/s</w:t>
            </w:r>
            <w:r>
              <w:rPr>
                <w:rFonts w:hint="eastAsia"/>
                <w:bCs/>
                <w:sz w:val="18"/>
                <w:szCs w:val="18"/>
              </w:rPr>
              <w:t>的生态流量，并设置生态流量在线监控及监测系统；初期蓄水期间，利用水泵抽水方</w:t>
            </w:r>
            <w:r>
              <w:rPr>
                <w:rFonts w:hint="eastAsia"/>
                <w:bCs/>
                <w:sz w:val="18"/>
                <w:szCs w:val="18"/>
              </w:rPr>
              <w:lastRenderedPageBreak/>
              <w:t>式向下游提供生态流量；蓄至死水位后，利用生态流量放水管向下游下泄生态流量。在库区以</w:t>
            </w:r>
            <w:r>
              <w:rPr>
                <w:rFonts w:hint="eastAsia"/>
                <w:bCs/>
                <w:sz w:val="18"/>
                <w:szCs w:val="18"/>
              </w:rPr>
              <w:t>上河段放流以鲢、</w:t>
            </w:r>
            <w:proofErr w:type="gramStart"/>
            <w:r>
              <w:rPr>
                <w:rFonts w:hint="eastAsia"/>
                <w:bCs/>
                <w:sz w:val="18"/>
                <w:szCs w:val="18"/>
              </w:rPr>
              <w:t>鳙等滤食性</w:t>
            </w:r>
            <w:proofErr w:type="gramEnd"/>
            <w:r>
              <w:rPr>
                <w:rFonts w:hint="eastAsia"/>
                <w:bCs/>
                <w:sz w:val="18"/>
                <w:szCs w:val="18"/>
              </w:rPr>
              <w:t>和杂食性为主的鱼类；将库尾以上的自然河段作为鱼类栖息地河段进行保护；每年</w:t>
            </w:r>
            <w:r>
              <w:rPr>
                <w:rFonts w:hint="eastAsia"/>
                <w:bCs/>
                <w:sz w:val="18"/>
                <w:szCs w:val="18"/>
              </w:rPr>
              <w:t>3-4</w:t>
            </w:r>
            <w:r>
              <w:rPr>
                <w:rFonts w:hint="eastAsia"/>
                <w:bCs/>
                <w:sz w:val="18"/>
                <w:szCs w:val="18"/>
              </w:rPr>
              <w:t>月和</w:t>
            </w:r>
            <w:r>
              <w:rPr>
                <w:rFonts w:hint="eastAsia"/>
                <w:bCs/>
                <w:sz w:val="18"/>
                <w:szCs w:val="18"/>
              </w:rPr>
              <w:t>9-10</w:t>
            </w:r>
            <w:r>
              <w:rPr>
                <w:rFonts w:hint="eastAsia"/>
                <w:bCs/>
                <w:sz w:val="18"/>
                <w:szCs w:val="18"/>
              </w:rPr>
              <w:t>月共开展两次捕捞工作，每年捕捞放流</w:t>
            </w:r>
            <w:r>
              <w:rPr>
                <w:rFonts w:hint="eastAsia"/>
                <w:bCs/>
                <w:sz w:val="18"/>
                <w:szCs w:val="18"/>
              </w:rPr>
              <w:t>50kg</w:t>
            </w:r>
            <w:r>
              <w:rPr>
                <w:rFonts w:hint="eastAsia"/>
                <w:bCs/>
                <w:sz w:val="18"/>
                <w:szCs w:val="18"/>
              </w:rPr>
              <w:t>以上野生鱼类，并于当年底前完成放流，保证坝上坝下河段鱼类遗传基因的交流。取水塔采用分层取水方式，共</w:t>
            </w:r>
            <w:r>
              <w:rPr>
                <w:rFonts w:hint="eastAsia"/>
                <w:bCs/>
                <w:sz w:val="18"/>
                <w:szCs w:val="18"/>
              </w:rPr>
              <w:t>3</w:t>
            </w:r>
            <w:r>
              <w:rPr>
                <w:rFonts w:hint="eastAsia"/>
                <w:bCs/>
                <w:sz w:val="18"/>
                <w:szCs w:val="18"/>
              </w:rPr>
              <w:t>层，各层取水口进口底板高层间距为</w:t>
            </w:r>
            <w:r>
              <w:rPr>
                <w:rFonts w:hint="eastAsia"/>
                <w:bCs/>
                <w:sz w:val="18"/>
                <w:szCs w:val="18"/>
              </w:rPr>
              <w:t>8.00m</w:t>
            </w:r>
            <w:r>
              <w:rPr>
                <w:rFonts w:hint="eastAsia"/>
                <w:bCs/>
                <w:sz w:val="18"/>
                <w:szCs w:val="18"/>
              </w:rPr>
              <w:t>，</w:t>
            </w:r>
            <w:proofErr w:type="gramStart"/>
            <w:r>
              <w:rPr>
                <w:rFonts w:hint="eastAsia"/>
                <w:bCs/>
                <w:sz w:val="18"/>
                <w:szCs w:val="18"/>
              </w:rPr>
              <w:t>由呈阶梯式</w:t>
            </w:r>
            <w:proofErr w:type="gramEnd"/>
            <w:r>
              <w:rPr>
                <w:rFonts w:hint="eastAsia"/>
                <w:bCs/>
                <w:sz w:val="18"/>
                <w:szCs w:val="18"/>
              </w:rPr>
              <w:t>分布的取水闸门控制，以控制和减缓工程建设对水温的不利影响。</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水库蓄水前按要求开展库底清理工作；水库建成后，按要求划定饮用水水源保护区，并采取物理隔离等保护措施。按照达川区人民政府批复的《达州市达川区水</w:t>
            </w:r>
            <w:r>
              <w:rPr>
                <w:rFonts w:hint="eastAsia"/>
                <w:bCs/>
                <w:sz w:val="18"/>
                <w:szCs w:val="18"/>
              </w:rPr>
              <w:t>污染防治规划（</w:t>
            </w:r>
            <w:r>
              <w:rPr>
                <w:rFonts w:hint="eastAsia"/>
                <w:bCs/>
                <w:sz w:val="18"/>
                <w:szCs w:val="18"/>
              </w:rPr>
              <w:t>2021-2025</w:t>
            </w:r>
            <w:r>
              <w:rPr>
                <w:rFonts w:hint="eastAsia"/>
                <w:bCs/>
                <w:sz w:val="18"/>
                <w:szCs w:val="18"/>
              </w:rPr>
              <w:t>）》（达川府函〔</w:t>
            </w:r>
            <w:r>
              <w:rPr>
                <w:rFonts w:hint="eastAsia"/>
                <w:bCs/>
                <w:sz w:val="18"/>
                <w:szCs w:val="18"/>
              </w:rPr>
              <w:t>2022</w:t>
            </w:r>
            <w:r>
              <w:rPr>
                <w:rFonts w:hint="eastAsia"/>
                <w:bCs/>
                <w:sz w:val="18"/>
                <w:szCs w:val="18"/>
              </w:rPr>
              <w:t>〕</w:t>
            </w:r>
            <w:r>
              <w:rPr>
                <w:rFonts w:hint="eastAsia"/>
                <w:bCs/>
                <w:sz w:val="18"/>
                <w:szCs w:val="18"/>
              </w:rPr>
              <w:t>40</w:t>
            </w:r>
            <w:r>
              <w:rPr>
                <w:rFonts w:hint="eastAsia"/>
                <w:bCs/>
                <w:sz w:val="18"/>
                <w:szCs w:val="18"/>
              </w:rPr>
              <w:t>号），实施饮用水源地综合整治工程，开展入河排污口整治监管专项行动，加强工业水污染、城镇水污染、农业和农村污染防治措施，对明月江等重点流域进行水生态治理和修复，减缓工程退水对地表水体造成的不利环境影响。</w:t>
            </w:r>
          </w:p>
          <w:p w:rsidR="005D3CEE" w:rsidRDefault="0058418C">
            <w:pPr>
              <w:adjustRightInd w:val="0"/>
              <w:snapToGrid w:val="0"/>
              <w:rPr>
                <w:rFonts w:ascii="Times New Roman" w:eastAsia="宋体" w:hAnsi="Times New Roman" w:cs="Times New Roman"/>
              </w:rPr>
            </w:pPr>
            <w:r>
              <w:rPr>
                <w:rFonts w:ascii="Times New Roman" w:eastAsia="宋体" w:hAnsi="Times New Roman" w:cs="Times New Roman" w:hint="eastAsia"/>
                <w:b/>
                <w:bCs/>
              </w:rPr>
              <w:t>三、公众参与情况</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建设单位按照《环境影响评价公众参与办法》要求，通过网上公示、登报公示、张贴公告等形式对环</w:t>
            </w:r>
            <w:proofErr w:type="gramStart"/>
            <w:r>
              <w:rPr>
                <w:rFonts w:hint="eastAsia"/>
                <w:bCs/>
                <w:sz w:val="18"/>
                <w:szCs w:val="18"/>
              </w:rPr>
              <w:t>评信息</w:t>
            </w:r>
            <w:proofErr w:type="gramEnd"/>
            <w:r>
              <w:rPr>
                <w:rFonts w:hint="eastAsia"/>
                <w:bCs/>
                <w:sz w:val="18"/>
                <w:szCs w:val="18"/>
              </w:rPr>
              <w:t>进行了公开，征求公众意见，在信息公开期间，未收到反对意见。</w:t>
            </w:r>
          </w:p>
          <w:p w:rsidR="005D3CEE" w:rsidRDefault="0058418C">
            <w:pPr>
              <w:adjustRightInd w:val="0"/>
              <w:snapToGrid w:val="0"/>
              <w:rPr>
                <w:rFonts w:ascii="Times New Roman" w:eastAsia="宋体" w:hAnsi="Times New Roman" w:cs="Times New Roman"/>
                <w:b/>
                <w:bCs/>
              </w:rPr>
            </w:pPr>
            <w:r>
              <w:rPr>
                <w:rFonts w:ascii="Times New Roman" w:eastAsia="宋体" w:hAnsi="Times New Roman" w:cs="Times New Roman" w:hint="eastAsia"/>
                <w:b/>
                <w:bCs/>
              </w:rPr>
              <w:t>四、其他部门意见</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w:t>
            </w:r>
            <w:r>
              <w:rPr>
                <w:rFonts w:hint="eastAsia"/>
                <w:bCs/>
                <w:sz w:val="18"/>
                <w:szCs w:val="18"/>
              </w:rPr>
              <w:t>1</w:t>
            </w:r>
            <w:r>
              <w:rPr>
                <w:rFonts w:hint="eastAsia"/>
                <w:bCs/>
                <w:sz w:val="18"/>
                <w:szCs w:val="18"/>
              </w:rPr>
              <w:t>）四川省发展和改革委员会</w:t>
            </w:r>
            <w:r>
              <w:rPr>
                <w:rFonts w:hint="eastAsia"/>
                <w:bCs/>
                <w:sz w:val="18"/>
                <w:szCs w:val="18"/>
              </w:rPr>
              <w:t>《</w:t>
            </w:r>
            <w:r>
              <w:rPr>
                <w:rFonts w:hint="eastAsia"/>
                <w:bCs/>
                <w:sz w:val="18"/>
                <w:szCs w:val="18"/>
              </w:rPr>
              <w:t>关于达州市达川区斑竹沟水库工</w:t>
            </w:r>
            <w:r>
              <w:rPr>
                <w:rFonts w:hint="eastAsia"/>
                <w:bCs/>
                <w:sz w:val="18"/>
                <w:szCs w:val="18"/>
              </w:rPr>
              <w:t>程可行性研究报告的批复</w:t>
            </w:r>
            <w:r>
              <w:rPr>
                <w:rFonts w:hint="eastAsia"/>
                <w:bCs/>
                <w:sz w:val="18"/>
                <w:szCs w:val="18"/>
              </w:rPr>
              <w:t>》</w:t>
            </w:r>
            <w:r>
              <w:rPr>
                <w:rFonts w:hint="eastAsia"/>
                <w:bCs/>
                <w:sz w:val="18"/>
                <w:szCs w:val="18"/>
              </w:rPr>
              <w:t>（</w:t>
            </w:r>
            <w:proofErr w:type="gramStart"/>
            <w:r>
              <w:rPr>
                <w:rFonts w:hint="eastAsia"/>
                <w:bCs/>
                <w:sz w:val="18"/>
                <w:szCs w:val="18"/>
              </w:rPr>
              <w:t>川发改</w:t>
            </w:r>
            <w:proofErr w:type="gramEnd"/>
            <w:r>
              <w:rPr>
                <w:rFonts w:hint="eastAsia"/>
                <w:bCs/>
                <w:sz w:val="18"/>
                <w:szCs w:val="18"/>
              </w:rPr>
              <w:t>农经〔</w:t>
            </w:r>
            <w:r>
              <w:rPr>
                <w:rFonts w:hint="eastAsia"/>
                <w:bCs/>
                <w:sz w:val="18"/>
                <w:szCs w:val="18"/>
              </w:rPr>
              <w:t>20</w:t>
            </w:r>
            <w:r>
              <w:rPr>
                <w:rFonts w:hint="eastAsia"/>
                <w:bCs/>
                <w:sz w:val="18"/>
                <w:szCs w:val="18"/>
              </w:rPr>
              <w:t>21</w:t>
            </w:r>
            <w:r>
              <w:rPr>
                <w:rFonts w:hint="eastAsia"/>
                <w:bCs/>
                <w:sz w:val="18"/>
                <w:szCs w:val="18"/>
              </w:rPr>
              <w:t>〕</w:t>
            </w:r>
            <w:r>
              <w:rPr>
                <w:rFonts w:hint="eastAsia"/>
                <w:bCs/>
                <w:sz w:val="18"/>
                <w:szCs w:val="18"/>
              </w:rPr>
              <w:t>208</w:t>
            </w:r>
            <w:r>
              <w:rPr>
                <w:rFonts w:hint="eastAsia"/>
                <w:bCs/>
                <w:sz w:val="18"/>
                <w:szCs w:val="18"/>
              </w:rPr>
              <w:t>号）；</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w:t>
            </w:r>
            <w:r>
              <w:rPr>
                <w:rFonts w:hint="eastAsia"/>
                <w:bCs/>
                <w:sz w:val="18"/>
                <w:szCs w:val="18"/>
              </w:rPr>
              <w:t>2</w:t>
            </w:r>
            <w:r>
              <w:rPr>
                <w:rFonts w:hint="eastAsia"/>
                <w:bCs/>
                <w:sz w:val="18"/>
                <w:szCs w:val="18"/>
              </w:rPr>
              <w:t>）四川省水利厅《关于印发达州市达川区斑竹沟水库工程</w:t>
            </w:r>
            <w:r>
              <w:rPr>
                <w:rFonts w:hint="eastAsia"/>
                <w:bCs/>
                <w:sz w:val="18"/>
                <w:szCs w:val="18"/>
              </w:rPr>
              <w:lastRenderedPageBreak/>
              <w:t>可行性研究阶段正常蓄水位选择专题报告审查意见的函》（川发水函〔</w:t>
            </w:r>
            <w:r>
              <w:rPr>
                <w:rFonts w:hint="eastAsia"/>
                <w:bCs/>
                <w:sz w:val="18"/>
                <w:szCs w:val="18"/>
              </w:rPr>
              <w:t>201</w:t>
            </w:r>
            <w:r>
              <w:rPr>
                <w:rFonts w:hint="eastAsia"/>
                <w:bCs/>
                <w:sz w:val="18"/>
                <w:szCs w:val="18"/>
              </w:rPr>
              <w:t>9</w:t>
            </w:r>
            <w:r>
              <w:rPr>
                <w:rFonts w:hint="eastAsia"/>
                <w:bCs/>
                <w:sz w:val="18"/>
                <w:szCs w:val="18"/>
              </w:rPr>
              <w:t>〕</w:t>
            </w:r>
            <w:r>
              <w:rPr>
                <w:rFonts w:hint="eastAsia"/>
                <w:bCs/>
                <w:sz w:val="18"/>
                <w:szCs w:val="18"/>
              </w:rPr>
              <w:t>392</w:t>
            </w:r>
            <w:r>
              <w:rPr>
                <w:rFonts w:hint="eastAsia"/>
                <w:bCs/>
                <w:sz w:val="18"/>
                <w:szCs w:val="18"/>
              </w:rPr>
              <w:t>号）；</w:t>
            </w:r>
          </w:p>
          <w:p w:rsidR="005D3CEE" w:rsidRDefault="0058418C">
            <w:pPr>
              <w:autoSpaceDE w:val="0"/>
              <w:autoSpaceDN w:val="0"/>
              <w:adjustRightInd w:val="0"/>
              <w:spacing w:line="276" w:lineRule="auto"/>
              <w:ind w:firstLineChars="200" w:firstLine="360"/>
              <w:rPr>
                <w:bCs/>
                <w:sz w:val="18"/>
                <w:szCs w:val="18"/>
              </w:rPr>
            </w:pPr>
            <w:r>
              <w:rPr>
                <w:rFonts w:hint="eastAsia"/>
                <w:bCs/>
                <w:sz w:val="18"/>
                <w:szCs w:val="18"/>
              </w:rPr>
              <w:t>（</w:t>
            </w:r>
            <w:r>
              <w:rPr>
                <w:rFonts w:hint="eastAsia"/>
                <w:bCs/>
                <w:sz w:val="18"/>
                <w:szCs w:val="18"/>
              </w:rPr>
              <w:t>3</w:t>
            </w:r>
            <w:r>
              <w:rPr>
                <w:rFonts w:hint="eastAsia"/>
                <w:bCs/>
                <w:sz w:val="18"/>
                <w:szCs w:val="18"/>
              </w:rPr>
              <w:t>）四川省水利厅《关于印发达州市达川区斑竹沟水库工程可行性研究阶段施工总布置规划专题报告审查意见的函》（川发水函〔</w:t>
            </w:r>
            <w:r>
              <w:rPr>
                <w:rFonts w:hint="eastAsia"/>
                <w:bCs/>
                <w:sz w:val="18"/>
                <w:szCs w:val="18"/>
              </w:rPr>
              <w:t>201</w:t>
            </w:r>
            <w:r>
              <w:rPr>
                <w:rFonts w:hint="eastAsia"/>
                <w:bCs/>
                <w:sz w:val="18"/>
                <w:szCs w:val="18"/>
              </w:rPr>
              <w:t>9</w:t>
            </w:r>
            <w:r>
              <w:rPr>
                <w:rFonts w:hint="eastAsia"/>
                <w:bCs/>
                <w:sz w:val="18"/>
                <w:szCs w:val="18"/>
              </w:rPr>
              <w:t>〕</w:t>
            </w:r>
            <w:r>
              <w:rPr>
                <w:rFonts w:hint="eastAsia"/>
                <w:bCs/>
                <w:sz w:val="18"/>
                <w:szCs w:val="18"/>
              </w:rPr>
              <w:t>393</w:t>
            </w:r>
            <w:r>
              <w:rPr>
                <w:rFonts w:hint="eastAsia"/>
                <w:bCs/>
                <w:sz w:val="18"/>
                <w:szCs w:val="18"/>
              </w:rPr>
              <w:t>号）；</w:t>
            </w:r>
          </w:p>
          <w:p w:rsidR="005D3CEE" w:rsidRDefault="0058418C">
            <w:pPr>
              <w:autoSpaceDE w:val="0"/>
              <w:autoSpaceDN w:val="0"/>
              <w:adjustRightInd w:val="0"/>
              <w:spacing w:line="276" w:lineRule="auto"/>
              <w:ind w:firstLineChars="200" w:firstLine="360"/>
              <w:rPr>
                <w:rFonts w:ascii="Times New Roman" w:hAnsi="Times New Roman" w:cs="Times New Roman"/>
                <w:kern w:val="0"/>
                <w:sz w:val="18"/>
                <w:szCs w:val="18"/>
              </w:rPr>
            </w:pPr>
            <w:r>
              <w:rPr>
                <w:rFonts w:hint="eastAsia"/>
                <w:bCs/>
                <w:sz w:val="18"/>
                <w:szCs w:val="18"/>
              </w:rPr>
              <w:t>（</w:t>
            </w:r>
            <w:r>
              <w:rPr>
                <w:rFonts w:hint="eastAsia"/>
                <w:bCs/>
                <w:sz w:val="18"/>
                <w:szCs w:val="18"/>
              </w:rPr>
              <w:t>4</w:t>
            </w:r>
            <w:r>
              <w:rPr>
                <w:rFonts w:hint="eastAsia"/>
                <w:bCs/>
                <w:sz w:val="18"/>
                <w:szCs w:val="18"/>
              </w:rPr>
              <w:t>）四川省水利厅《关于达州市达川区斑竹沟水库工程可行性研究报告审查意见的函》（川发水函〔</w:t>
            </w:r>
            <w:r>
              <w:rPr>
                <w:rFonts w:hint="eastAsia"/>
                <w:bCs/>
                <w:sz w:val="18"/>
                <w:szCs w:val="18"/>
              </w:rPr>
              <w:t>20</w:t>
            </w:r>
            <w:r>
              <w:rPr>
                <w:rFonts w:hint="eastAsia"/>
                <w:bCs/>
                <w:sz w:val="18"/>
                <w:szCs w:val="18"/>
              </w:rPr>
              <w:t>20</w:t>
            </w:r>
            <w:r>
              <w:rPr>
                <w:rFonts w:hint="eastAsia"/>
                <w:bCs/>
                <w:sz w:val="18"/>
                <w:szCs w:val="18"/>
              </w:rPr>
              <w:t>〕</w:t>
            </w:r>
            <w:r>
              <w:rPr>
                <w:rFonts w:hint="eastAsia"/>
                <w:bCs/>
                <w:sz w:val="18"/>
                <w:szCs w:val="18"/>
              </w:rPr>
              <w:t>2025</w:t>
            </w:r>
            <w:r>
              <w:rPr>
                <w:rFonts w:hint="eastAsia"/>
                <w:bCs/>
                <w:sz w:val="18"/>
                <w:szCs w:val="18"/>
              </w:rPr>
              <w:t>号）；</w:t>
            </w:r>
            <w:r>
              <w:rPr>
                <w:rFonts w:ascii="Times New Roman" w:hAnsi="Times New Roman" w:cs="Times New Roman" w:hint="eastAsia"/>
                <w:kern w:val="0"/>
                <w:sz w:val="18"/>
                <w:szCs w:val="18"/>
              </w:rPr>
              <w:t xml:space="preserve">          </w:t>
            </w:r>
            <w:r>
              <w:rPr>
                <w:rFonts w:ascii="Times New Roman" w:hAnsi="Times New Roman" w:cs="Times New Roman" w:hint="eastAsia"/>
                <w:kern w:val="0"/>
                <w:sz w:val="18"/>
                <w:szCs w:val="18"/>
              </w:rPr>
              <w:t xml:space="preserve">                       </w:t>
            </w:r>
          </w:p>
        </w:tc>
      </w:tr>
    </w:tbl>
    <w:p w:rsidR="005D3CEE" w:rsidRDefault="005D3CEE">
      <w:pPr>
        <w:ind w:firstLineChars="200" w:firstLine="560"/>
        <w:rPr>
          <w:rFonts w:ascii="Times New Roman" w:eastAsia="仿宋_GB2312" w:hAnsi="Times New Roman" w:cs="Times New Roman"/>
          <w:color w:val="333333"/>
          <w:sz w:val="28"/>
          <w:szCs w:val="28"/>
        </w:rPr>
      </w:pPr>
    </w:p>
    <w:sectPr w:rsidR="005D3CEE">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18C" w:rsidRDefault="0058418C" w:rsidP="00165791">
      <w:r>
        <w:separator/>
      </w:r>
    </w:p>
  </w:endnote>
  <w:endnote w:type="continuationSeparator" w:id="0">
    <w:p w:rsidR="0058418C" w:rsidRDefault="0058418C" w:rsidP="0016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91" w:rsidRDefault="001657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91" w:rsidRDefault="001657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91" w:rsidRDefault="001657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18C" w:rsidRDefault="0058418C" w:rsidP="00165791">
      <w:r>
        <w:separator/>
      </w:r>
    </w:p>
  </w:footnote>
  <w:footnote w:type="continuationSeparator" w:id="0">
    <w:p w:rsidR="0058418C" w:rsidRDefault="0058418C" w:rsidP="0016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91" w:rsidRDefault="0016579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91" w:rsidRDefault="00165791" w:rsidP="00165791">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91" w:rsidRDefault="001657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D1143"/>
    <w:multiLevelType w:val="singleLevel"/>
    <w:tmpl w:val="A0AD1143"/>
    <w:lvl w:ilvl="0">
      <w:start w:val="1"/>
      <w:numFmt w:val="chineseCounting"/>
      <w:suff w:val="nothing"/>
      <w:lvlText w:val="%1、"/>
      <w:lvlJc w:val="left"/>
      <w:rPr>
        <w:rFonts w:hint="eastAsia"/>
      </w:rPr>
    </w:lvl>
  </w:abstractNum>
  <w:abstractNum w:abstractNumId="1">
    <w:nsid w:val="01ED1C3E"/>
    <w:multiLevelType w:val="multilevel"/>
    <w:tmpl w:val="01ED1C3E"/>
    <w:lvl w:ilvl="0">
      <w:start w:val="1"/>
      <w:numFmt w:val="decimal"/>
      <w:isLgl/>
      <w:suff w:val="nothing"/>
      <w:lvlText w:val="%1  "/>
      <w:lvlJc w:val="left"/>
      <w:pPr>
        <w:ind w:left="1980" w:firstLine="0"/>
      </w:pPr>
      <w:rPr>
        <w:rFonts w:ascii="Times New Roman" w:hAnsi="Times New Roman" w:cs="Times New Roman" w:hint="eastAsia"/>
        <w:b/>
        <w:bCs w:val="0"/>
        <w:i w:val="0"/>
        <w:iCs w:val="0"/>
        <w:caps w:val="0"/>
        <w:smallCaps w:val="0"/>
        <w:strike w:val="0"/>
        <w:dstrike w:val="0"/>
        <w:vanish w:val="0"/>
        <w:spacing w:val="0"/>
        <w:kern w:val="0"/>
        <w:position w:val="0"/>
        <w:sz w:val="30"/>
        <w:szCs w:val="30"/>
        <w:u w:val="none"/>
        <w:vertAlign w:val="baseline"/>
      </w:rPr>
    </w:lvl>
    <w:lvl w:ilvl="1">
      <w:start w:val="1"/>
      <w:numFmt w:val="decimal"/>
      <w:isLgl/>
      <w:suff w:val="nothing"/>
      <w:lvlText w:val="%1.%2  "/>
      <w:lvlJc w:val="left"/>
      <w:pPr>
        <w:ind w:left="284" w:firstLine="0"/>
      </w:pPr>
      <w:rPr>
        <w:rFonts w:ascii="Times New Roman" w:eastAsia="宋体" w:hAnsi="Times New Roman" w:hint="eastAsia"/>
        <w:b w:val="0"/>
        <w:sz w:val="28"/>
      </w:rPr>
    </w:lvl>
    <w:lvl w:ilvl="2">
      <w:start w:val="1"/>
      <w:numFmt w:val="decimal"/>
      <w:isLgl/>
      <w:suff w:val="nothing"/>
      <w:lvlText w:val="%1.%2.%3  "/>
      <w:lvlJc w:val="left"/>
      <w:pPr>
        <w:ind w:left="2127" w:firstLine="0"/>
      </w:pPr>
      <w:rPr>
        <w:rFonts w:ascii="Times New Roman" w:hint="eastAsia"/>
        <w:sz w:val="24"/>
        <w:szCs w:val="24"/>
      </w:rPr>
    </w:lvl>
    <w:lvl w:ilvl="3">
      <w:start w:val="1"/>
      <w:numFmt w:val="decimal"/>
      <w:pStyle w:val="4"/>
      <w:isLgl/>
      <w:suff w:val="nothing"/>
      <w:lvlText w:val="%1.%2.%3.%4  "/>
      <w:lvlJc w:val="left"/>
      <w:pPr>
        <w:ind w:left="851" w:firstLine="0"/>
      </w:pPr>
      <w:rPr>
        <w:rFonts w:ascii="Times New Roman" w:hAnsi="Times New Roman" w:cs="Times New Roman" w:hint="default"/>
        <w:b/>
        <w:bCs w:val="0"/>
        <w:i w:val="0"/>
        <w:iCs w:val="0"/>
        <w:caps w:val="0"/>
        <w:smallCaps w:val="0"/>
        <w:strike w:val="0"/>
        <w:dstrike w:val="0"/>
        <w:vanish w:val="0"/>
        <w:spacing w:val="0"/>
        <w:kern w:val="0"/>
        <w:position w:val="0"/>
        <w:sz w:val="24"/>
        <w:szCs w:val="24"/>
        <w:u w:val="none"/>
        <w:vertAlign w:val="baseline"/>
      </w:rPr>
    </w:lvl>
    <w:lvl w:ilvl="4">
      <w:start w:val="1"/>
      <w:numFmt w:val="decimal"/>
      <w:isLgl/>
      <w:suff w:val="nothing"/>
      <w:lvlText w:val="%1.%2.%3.%4.%5  "/>
      <w:lvlJc w:val="left"/>
      <w:pPr>
        <w:ind w:left="0" w:firstLine="0"/>
      </w:pPr>
      <w:rPr>
        <w:rFonts w:hint="eastAsia"/>
      </w:rPr>
    </w:lvl>
    <w:lvl w:ilvl="5">
      <w:start w:val="1"/>
      <w:numFmt w:val="decimal"/>
      <w:isLgl/>
      <w:suff w:val="nothing"/>
      <w:lvlText w:val="%1.%2.%3.%4.%5.%6  "/>
      <w:lvlJc w:val="left"/>
      <w:pPr>
        <w:ind w:left="0" w:firstLine="0"/>
      </w:pPr>
      <w:rPr>
        <w:rFonts w:hint="eastAsia"/>
      </w:rPr>
    </w:lvl>
    <w:lvl w:ilvl="6">
      <w:start w:val="1"/>
      <w:numFmt w:val="decimal"/>
      <w:isLgl/>
      <w:suff w:val="nothing"/>
      <w:lvlText w:val="%1.%2.%3.%4.%5.%6.%7  "/>
      <w:lvlJc w:val="left"/>
      <w:pPr>
        <w:ind w:left="0" w:firstLine="0"/>
      </w:pPr>
      <w:rPr>
        <w:rFonts w:hint="eastAsia"/>
      </w:rPr>
    </w:lvl>
    <w:lvl w:ilvl="7">
      <w:start w:val="1"/>
      <w:numFmt w:val="decimal"/>
      <w:isLgl/>
      <w:suff w:val="nothing"/>
      <w:lvlText w:val="%1.%2.%3.%4.%5.%6.%7.%8  "/>
      <w:lvlJc w:val="left"/>
      <w:pPr>
        <w:ind w:left="0" w:firstLine="0"/>
      </w:pPr>
      <w:rPr>
        <w:rFonts w:hint="eastAsia"/>
      </w:rPr>
    </w:lvl>
    <w:lvl w:ilvl="8">
      <w:start w:val="1"/>
      <w:numFmt w:val="decimal"/>
      <w:isLgl/>
      <w:suff w:val="nothing"/>
      <w:lvlText w:val="%1.%2.%3.%4.%5.%6.%7.%8.%9  "/>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54735"/>
    <w:rsid w:val="00165791"/>
    <w:rsid w:val="003424B8"/>
    <w:rsid w:val="0058418C"/>
    <w:rsid w:val="005D3CEE"/>
    <w:rsid w:val="03F1298D"/>
    <w:rsid w:val="073D2D20"/>
    <w:rsid w:val="09E039C0"/>
    <w:rsid w:val="0CAB4A45"/>
    <w:rsid w:val="10DD551C"/>
    <w:rsid w:val="11BA5BCB"/>
    <w:rsid w:val="1BFD3073"/>
    <w:rsid w:val="2094401B"/>
    <w:rsid w:val="22CC2095"/>
    <w:rsid w:val="2CA64AB8"/>
    <w:rsid w:val="2D48305C"/>
    <w:rsid w:val="312E68BD"/>
    <w:rsid w:val="34AD0909"/>
    <w:rsid w:val="373F66F5"/>
    <w:rsid w:val="3D9E1581"/>
    <w:rsid w:val="3FCA3EA5"/>
    <w:rsid w:val="43E32843"/>
    <w:rsid w:val="44327812"/>
    <w:rsid w:val="49E7109A"/>
    <w:rsid w:val="4B992D60"/>
    <w:rsid w:val="4BF40B6C"/>
    <w:rsid w:val="4C85080A"/>
    <w:rsid w:val="52EF30B7"/>
    <w:rsid w:val="5DE53C45"/>
    <w:rsid w:val="5E557FB5"/>
    <w:rsid w:val="64BC7ADE"/>
    <w:rsid w:val="69354735"/>
    <w:rsid w:val="6C8E1A15"/>
    <w:rsid w:val="6E5C5D8D"/>
    <w:rsid w:val="75912387"/>
    <w:rsid w:val="77135678"/>
    <w:rsid w:val="78D13728"/>
    <w:rsid w:val="7B6A4C2B"/>
    <w:rsid w:val="7BD44A01"/>
    <w:rsid w:val="7FCA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numPr>
        <w:ilvl w:val="3"/>
        <w:numId w:val="1"/>
      </w:numPr>
      <w:spacing w:line="360" w:lineRule="auto"/>
      <w:ind w:left="0"/>
      <w:jc w:val="left"/>
      <w:outlineLvl w:val="3"/>
    </w:pPr>
    <w:rPr>
      <w:rFonts w:ascii="Arial" w:hAnsi="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4"/>
    <w:next w:val="a"/>
    <w:qFormat/>
    <w:pPr>
      <w:adjustRightInd w:val="0"/>
      <w:snapToGrid w:val="0"/>
      <w:spacing w:line="300" w:lineRule="auto"/>
      <w:jc w:val="center"/>
    </w:pPr>
    <w:rPr>
      <w:rFonts w:eastAsia="华文中宋"/>
    </w:rPr>
  </w:style>
  <w:style w:type="paragraph" w:styleId="a4">
    <w:name w:val="Body Text"/>
    <w:basedOn w:val="a"/>
    <w:qFormat/>
    <w:pPr>
      <w:spacing w:after="120"/>
    </w:pPr>
    <w:rPr>
      <w:rFonts w:ascii="Calibri" w:eastAsia="宋体" w:hAnsi="Calibri" w:cs="Times New Roman"/>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1"/>
    <w:qFormat/>
    <w:rPr>
      <w:rFonts w:ascii="宋体" w:eastAsia="宋体" w:hAnsi="宋体" w:cs="宋体" w:hint="eastAsia"/>
      <w:color w:val="333333"/>
      <w:sz w:val="18"/>
      <w:szCs w:val="18"/>
      <w:u w:val="none"/>
    </w:rPr>
  </w:style>
  <w:style w:type="character" w:styleId="aa">
    <w:name w:val="Hyperlink"/>
    <w:basedOn w:val="a1"/>
    <w:qFormat/>
    <w:rPr>
      <w:rFonts w:ascii="宋体" w:eastAsia="宋体" w:hAnsi="宋体" w:cs="宋体" w:hint="eastAsia"/>
      <w:color w:val="333333"/>
      <w:sz w:val="18"/>
      <w:szCs w:val="18"/>
      <w:u w:val="none"/>
    </w:rPr>
  </w:style>
  <w:style w:type="paragraph" w:customStyle="1" w:styleId="ab">
    <w:name w:val="++++++++正文"/>
    <w:basedOn w:val="a"/>
    <w:qFormat/>
    <w:pPr>
      <w:autoSpaceDE w:val="0"/>
      <w:autoSpaceDN w:val="0"/>
      <w:adjustRightInd w:val="0"/>
      <w:spacing w:line="360" w:lineRule="auto"/>
      <w:ind w:firstLineChars="200" w:firstLine="200"/>
      <w:jc w:val="left"/>
    </w:pPr>
    <w:rPr>
      <w:kern w:val="0"/>
      <w:sz w:val="24"/>
    </w:rPr>
  </w:style>
  <w:style w:type="paragraph" w:customStyle="1" w:styleId="22">
    <w:name w:val="样式 样式 样式 样式 样式 样式 样式 样式 样式 样式 样式 首行缩进:  2 字符 + 首行缩进:  2 字符 + 首行缩..."/>
    <w:basedOn w:val="a"/>
    <w:qFormat/>
    <w:pPr>
      <w:spacing w:line="312" w:lineRule="auto"/>
      <w:ind w:firstLineChars="200" w:firstLine="480"/>
    </w:pPr>
    <w:rPr>
      <w:rFonts w:ascii="宋体"/>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pPr>
      <w:keepNext/>
      <w:keepLines/>
      <w:numPr>
        <w:ilvl w:val="3"/>
        <w:numId w:val="1"/>
      </w:numPr>
      <w:spacing w:line="360" w:lineRule="auto"/>
      <w:ind w:left="0"/>
      <w:jc w:val="left"/>
      <w:outlineLvl w:val="3"/>
    </w:pPr>
    <w:rPr>
      <w:rFonts w:ascii="Arial" w:hAnsi="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4"/>
    <w:next w:val="a"/>
    <w:qFormat/>
    <w:pPr>
      <w:adjustRightInd w:val="0"/>
      <w:snapToGrid w:val="0"/>
      <w:spacing w:line="300" w:lineRule="auto"/>
      <w:jc w:val="center"/>
    </w:pPr>
    <w:rPr>
      <w:rFonts w:eastAsia="华文中宋"/>
    </w:rPr>
  </w:style>
  <w:style w:type="paragraph" w:styleId="a4">
    <w:name w:val="Body Text"/>
    <w:basedOn w:val="a"/>
    <w:qFormat/>
    <w:pPr>
      <w:spacing w:after="120"/>
    </w:pPr>
    <w:rPr>
      <w:rFonts w:ascii="Calibri" w:eastAsia="宋体" w:hAnsi="Calibri" w:cs="Times New Roman"/>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1"/>
    <w:qFormat/>
    <w:rPr>
      <w:rFonts w:ascii="宋体" w:eastAsia="宋体" w:hAnsi="宋体" w:cs="宋体" w:hint="eastAsia"/>
      <w:color w:val="333333"/>
      <w:sz w:val="18"/>
      <w:szCs w:val="18"/>
      <w:u w:val="none"/>
    </w:rPr>
  </w:style>
  <w:style w:type="character" w:styleId="aa">
    <w:name w:val="Hyperlink"/>
    <w:basedOn w:val="a1"/>
    <w:qFormat/>
    <w:rPr>
      <w:rFonts w:ascii="宋体" w:eastAsia="宋体" w:hAnsi="宋体" w:cs="宋体" w:hint="eastAsia"/>
      <w:color w:val="333333"/>
      <w:sz w:val="18"/>
      <w:szCs w:val="18"/>
      <w:u w:val="none"/>
    </w:rPr>
  </w:style>
  <w:style w:type="paragraph" w:customStyle="1" w:styleId="ab">
    <w:name w:val="++++++++正文"/>
    <w:basedOn w:val="a"/>
    <w:qFormat/>
    <w:pPr>
      <w:autoSpaceDE w:val="0"/>
      <w:autoSpaceDN w:val="0"/>
      <w:adjustRightInd w:val="0"/>
      <w:spacing w:line="360" w:lineRule="auto"/>
      <w:ind w:firstLineChars="200" w:firstLine="200"/>
      <w:jc w:val="left"/>
    </w:pPr>
    <w:rPr>
      <w:kern w:val="0"/>
      <w:sz w:val="24"/>
    </w:rPr>
  </w:style>
  <w:style w:type="paragraph" w:customStyle="1" w:styleId="22">
    <w:name w:val="样式 样式 样式 样式 样式 样式 样式 样式 样式 样式 样式 首行缩进:  2 字符 + 首行缩进:  2 字符 + 首行缩..."/>
    <w:basedOn w:val="a"/>
    <w:qFormat/>
    <w:pPr>
      <w:spacing w:line="312" w:lineRule="auto"/>
      <w:ind w:firstLineChars="200" w:firstLine="480"/>
    </w:pPr>
    <w:rPr>
      <w:rFonts w:asci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476</Words>
  <Characters>2716</Characters>
  <Application>Microsoft Office Word</Application>
  <DocSecurity>0</DocSecurity>
  <Lines>22</Lines>
  <Paragraphs>6</Paragraphs>
  <ScaleCrop>false</ScaleCrop>
  <Company>微软中国</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在路上1413430408</dc:creator>
  <cp:lastModifiedBy>杜青</cp:lastModifiedBy>
  <cp:revision>2</cp:revision>
  <dcterms:created xsi:type="dcterms:W3CDTF">2022-03-29T09:02:00Z</dcterms:created>
  <dcterms:modified xsi:type="dcterms:W3CDTF">2022-03-29T09:02:00Z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5E199020D38F41B0992BB980532AE1F6</vt:lpwstr>
  </property>
</Properties>
</file>