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1" w:rightFromText="181" w:vertAnchor="text" w:horzAnchor="page" w:tblpXSpec="center" w:tblpY="1"/>
        <w:tblOverlap w:val="never"/>
        <w:tblW w:w="14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"/>
        <w:gridCol w:w="660"/>
        <w:gridCol w:w="690"/>
        <w:gridCol w:w="750"/>
        <w:gridCol w:w="705"/>
        <w:gridCol w:w="2678"/>
        <w:gridCol w:w="8800"/>
      </w:tblGrid>
      <w:tr w14:paraId="3806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2693C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4D20A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437C8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建设地点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AF064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建设单位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235BC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环境影响评价机构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38AC6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项目概况</w:t>
            </w:r>
          </w:p>
        </w:tc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10A53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主要环境影响及预防或者减轻</w:t>
            </w:r>
          </w:p>
          <w:p w14:paraId="5A4BADA0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不良环境影响的对策和措施</w:t>
            </w:r>
          </w:p>
        </w:tc>
      </w:tr>
      <w:tr w14:paraId="6373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E2F0B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849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S204渠县贵福过境段改建工程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9261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四川省达州市渠县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C6F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kern w:val="0"/>
                <w:szCs w:val="21"/>
              </w:rPr>
              <w:t>渠县交投建设有限责任公司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9C5F1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四川恒瑞盛锦环保科技有限公司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C1271">
            <w:pPr>
              <w:pStyle w:val="19"/>
              <w:spacing w:line="300" w:lineRule="atLeast"/>
              <w:ind w:firstLine="420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工程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</w:rPr>
              <w:t>起于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渠县贵福镇印盒村，顺接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S204涌兴至贵福段，沿贵福镇南侧布线绕避场镇，止于贵福镇八台社区，顺接S204贵福至岩峰段。</w:t>
            </w:r>
          </w:p>
          <w:p w14:paraId="11FA3CCE">
            <w:pPr>
              <w:pStyle w:val="19"/>
              <w:spacing w:line="300" w:lineRule="atLeast"/>
              <w:ind w:firstLine="420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工程路线全长2.140km，均为新建。采用二级公路技术标准建设，设计速度60公里/小时，路基宽度10米，桥梁宽度10.5米，全线采用沥青混凝土路面。全线新建桥梁36m/1座，设涵洞8道（含通道2道），改渠33m/1处。</w:t>
            </w:r>
          </w:p>
          <w:p w14:paraId="27240DEE">
            <w:pPr>
              <w:pStyle w:val="19"/>
              <w:spacing w:line="300" w:lineRule="atLeast"/>
              <w:ind w:firstLine="420"/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工程所用筑路材料（沥青混凝土、砂石、水泥、骨料、钢筋等）均外购成品。工程设置临时施工区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1处，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lang w:val="en-US" w:eastAsia="zh-CN"/>
              </w:rPr>
              <w:t>内含桥涵预制区、拌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合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lang w:val="en-US" w:eastAsia="zh-CN"/>
              </w:rPr>
              <w:t>站（仅服务于桥涵等预制件生产）、材料堆放区、机械停放区、钢筋加工棚、仓库等，设置临时表土堆场2处，均位于项目永久占地范围内。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工程不设置热拌合站、取土场、弃渣场、施工营地、施工便道。</w:t>
            </w:r>
          </w:p>
          <w:p w14:paraId="5C0DB90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420" w:firstLineChars="200"/>
              <w:textAlignment w:val="auto"/>
              <w:rPr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工程总投资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约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4934.23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万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元，其中环保投资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约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575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万元。</w:t>
            </w:r>
          </w:p>
        </w:tc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8642D">
            <w:pPr>
              <w:pStyle w:val="11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1"/>
                <w:szCs w:val="21"/>
              </w:rPr>
              <w:t>施工期主要环境保护措施</w:t>
            </w:r>
          </w:p>
          <w:p w14:paraId="456BEC51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（1）生态环境保护措施</w:t>
            </w:r>
          </w:p>
          <w:p w14:paraId="6506B657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严格控制施工范围，优化施工临时工程设置；施工前路基开挖及临时占地的表土剥离保存，施工结束后开展生态修复或复耕等；强化施工环境管理，缩短施工时间，采取有效的动植物生态环境保护措施，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控制和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减缓工程施工对生态环境的不利影响。</w:t>
            </w:r>
          </w:p>
          <w:p w14:paraId="1188522A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（2）水污染防治措施</w:t>
            </w:r>
          </w:p>
          <w:p w14:paraId="14BD4633">
            <w:pPr>
              <w:pStyle w:val="11"/>
              <w:shd w:val="clear" w:color="auto" w:fill="FFFFFF"/>
              <w:tabs>
                <w:tab w:val="left" w:pos="3570"/>
              </w:tabs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F79646" w:themeColor="accent6"/>
                <w:sz w:val="21"/>
                <w:szCs w:val="21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桥梁施工泥浆沉淀处理后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回用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泥浆废水沉淀处理后用于洒水抑尘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。生活污水依托周边民房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现有设施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处理后用作农肥，不外排。施工场地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废水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、桥下作业区地表径流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及初期雨水收集沉淀处理后循环使用或洒水抑尘，不外排。</w:t>
            </w:r>
          </w:p>
          <w:p w14:paraId="527F38F3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（3）噪声污染防治措施</w:t>
            </w:r>
          </w:p>
          <w:p w14:paraId="064C9BA5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合理布设施工现场，尽量选用低噪声低振动施工机械设备，施工过程设置围挡与必要减震防噪措施，合理安排施工时序，合理安排施工车辆运输路线与时间。</w:t>
            </w:r>
          </w:p>
          <w:p w14:paraId="60C753FF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（4）大气污染防治措施</w:t>
            </w:r>
          </w:p>
          <w:p w14:paraId="3CDA8A22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F79646" w:themeColor="accent6"/>
                <w:sz w:val="21"/>
                <w:szCs w:val="21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强化施工期扬尘污染防治，采取设置围挡、洒水降尘、场地硬化、</w:t>
            </w:r>
            <w:r>
              <w:rPr>
                <w:rFonts w:hint="eastAsia" w:ascii="Times New Roman"/>
                <w:color w:val="auto"/>
                <w:sz w:val="21"/>
                <w:szCs w:val="21"/>
              </w:rPr>
              <w:t>密闭运输、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进出口设置冲洗平台等措施；</w:t>
            </w:r>
            <w:r>
              <w:rPr>
                <w:rFonts w:hint="eastAsia" w:ascii="Times New Roman"/>
                <w:color w:val="auto"/>
                <w:sz w:val="21"/>
                <w:szCs w:val="21"/>
              </w:rPr>
              <w:t>钢筋加工棚焊接废气</w:t>
            </w:r>
            <w:r>
              <w:rPr>
                <w:rFonts w:hint="eastAsia" w:ascii="Times New Roman"/>
                <w:color w:val="auto"/>
                <w:sz w:val="21"/>
                <w:szCs w:val="21"/>
                <w:lang w:eastAsia="zh-CN"/>
              </w:rPr>
              <w:t>设置</w:t>
            </w:r>
            <w:r>
              <w:rPr>
                <w:rFonts w:hint="eastAsia" w:ascii="Times New Roman"/>
                <w:color w:val="auto"/>
                <w:sz w:val="21"/>
                <w:szCs w:val="21"/>
              </w:rPr>
              <w:t>移动净化设施</w:t>
            </w:r>
            <w:r>
              <w:rPr>
                <w:rFonts w:hint="eastAsia" w:ascii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搅拌机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设置在可封闭彩钢棚内并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封闭进出料口，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棚内洒水降尘</w:t>
            </w:r>
            <w:r>
              <w:rPr>
                <w:rFonts w:hint="eastAsia" w:ascii="Times New Roman"/>
                <w:color w:val="0000FF"/>
                <w:sz w:val="21"/>
                <w:szCs w:val="21"/>
              </w:rPr>
              <w:t>。</w:t>
            </w:r>
          </w:p>
          <w:p w14:paraId="0DECFB01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（5）固体废物污染防治措施</w:t>
            </w:r>
          </w:p>
          <w:p w14:paraId="4B854BF6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加强施工期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生活垃圾、弃方、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建筑垃圾、钻渣、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脱水后泥浆、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沉淀池污泥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废焊条、废焊渣、废机油等各类固体废物的收集、暂存、转运及处置过程中的环境管理，采取有效措施防止二次污染。</w:t>
            </w:r>
          </w:p>
          <w:p w14:paraId="74E74C32">
            <w:pPr>
              <w:pStyle w:val="11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1"/>
                <w:szCs w:val="21"/>
              </w:rPr>
              <w:t>营运期主要环境保护措施</w:t>
            </w:r>
          </w:p>
          <w:p w14:paraId="46071D14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加强营运期生态环境保护组织管理，落实陆生动植物和水生生物保护措施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加强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公路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沿线区域临时占地恢复工程的保护。</w:t>
            </w:r>
          </w:p>
          <w:p w14:paraId="494E0317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F79646" w:themeColor="accent6"/>
                <w:sz w:val="21"/>
                <w:szCs w:val="21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加强车辆管理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公路两侧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绿化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定期维护保养路面。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针对声环境敏感点设置各类有效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减噪措施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，预留噪声监测、治理费用和声屏障实施条件,加强跟踪监测，根据监测结果进一步完善必要的防治措施。</w:t>
            </w:r>
          </w:p>
          <w:p w14:paraId="021C712D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F79646" w:themeColor="accent6"/>
                <w:sz w:val="21"/>
                <w:szCs w:val="21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公路沿线设置加盖垃圾池，依法分类处置固体废物。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加强排水系统等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水环境保护措施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桥梁路段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加强管理。</w:t>
            </w:r>
          </w:p>
          <w:p w14:paraId="7ED02932">
            <w:pPr>
              <w:pStyle w:val="11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三、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1"/>
                <w:szCs w:val="21"/>
              </w:rPr>
              <w:t>主要环境风险防范措施</w:t>
            </w:r>
          </w:p>
          <w:p w14:paraId="17D841B7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FF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桥梁路段设置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防撞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设施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等环境风险防范措施，同时设置减速慢行、禁止超车等警示标志。加强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危险品运输管理。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制定风险应急预案，降低和控制交通运输带来的环境风险。</w:t>
            </w:r>
          </w:p>
          <w:p w14:paraId="7F06CBB2">
            <w:pPr>
              <w:pStyle w:val="11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四、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1"/>
                <w:szCs w:val="21"/>
              </w:rPr>
              <w:t>公众参与情况</w:t>
            </w:r>
          </w:p>
          <w:p w14:paraId="48792D36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建设单位按照《环境影响评价公众参与办法》要求，通过网上公示、登报公示、张贴公告等形式进行了信息公开，征求公众意见，在信息公开期间，未收到反对意见。</w:t>
            </w:r>
          </w:p>
          <w:p w14:paraId="06F49BB9">
            <w:pPr>
              <w:pStyle w:val="11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五、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1"/>
                <w:szCs w:val="21"/>
              </w:rPr>
              <w:t>其他部门意见</w:t>
            </w:r>
          </w:p>
          <w:p w14:paraId="5012C250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1、四川省生态环境厅《关于&lt;四川省普通省道网布局规划（2021-2035年）环境影响报告书&gt;审查意见的函》（川环建函〔2022〕3号）；</w:t>
            </w:r>
          </w:p>
          <w:p w14:paraId="26ED9CBC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2、达州市生态环境局《关于&lt;达州市“十四五”综合交通运输发展规划环境影响报告书&gt;的审查意见》（达市环函〔2021〕216号）；</w:t>
            </w:r>
          </w:p>
          <w:p w14:paraId="463973FF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渠县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发展和改革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《关于S204渠县贵福过境段改建工程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可行性研究报告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批复》（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渠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发改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审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〔2022〕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184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号）；</w:t>
            </w:r>
          </w:p>
          <w:p w14:paraId="75A1413A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渠县自然资源局《关于S204渠县贵福过境段改建工程用地预审与选址意见的复函》（渠自然资预审〔2023〕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号）</w:t>
            </w:r>
          </w:p>
        </w:tc>
      </w:tr>
    </w:tbl>
    <w:p w14:paraId="5456840B">
      <w:pPr>
        <w:rPr>
          <w:color w:val="000000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DA3YmE1MGVhYzgwYWY5ZmFkOGJkOTUyNGE0MTk3ZWMifQ=="/>
  </w:docVars>
  <w:rsids>
    <w:rsidRoot w:val="00D25A2F"/>
    <w:rsid w:val="006E228F"/>
    <w:rsid w:val="00A62B3D"/>
    <w:rsid w:val="00D25A2F"/>
    <w:rsid w:val="028662B9"/>
    <w:rsid w:val="0B45535F"/>
    <w:rsid w:val="0F5500B5"/>
    <w:rsid w:val="188F5625"/>
    <w:rsid w:val="1E2329B4"/>
    <w:rsid w:val="1ED26A03"/>
    <w:rsid w:val="1EFD7390"/>
    <w:rsid w:val="230227AB"/>
    <w:rsid w:val="2B873E78"/>
    <w:rsid w:val="2CE7730B"/>
    <w:rsid w:val="2F530909"/>
    <w:rsid w:val="30FC590F"/>
    <w:rsid w:val="35CDFAAB"/>
    <w:rsid w:val="38A85873"/>
    <w:rsid w:val="3F6D3B46"/>
    <w:rsid w:val="44091866"/>
    <w:rsid w:val="49380BA6"/>
    <w:rsid w:val="4CDF1F4C"/>
    <w:rsid w:val="589A55C4"/>
    <w:rsid w:val="5A655962"/>
    <w:rsid w:val="5BCBDCD7"/>
    <w:rsid w:val="5E3D31C6"/>
    <w:rsid w:val="603D1CD6"/>
    <w:rsid w:val="657EDB8F"/>
    <w:rsid w:val="6972587E"/>
    <w:rsid w:val="6B7E7523"/>
    <w:rsid w:val="71BF4417"/>
    <w:rsid w:val="76FBFA1D"/>
    <w:rsid w:val="797948D0"/>
    <w:rsid w:val="7FFFA18B"/>
    <w:rsid w:val="96F7EC78"/>
    <w:rsid w:val="9AFFC751"/>
    <w:rsid w:val="BFFD7FC4"/>
    <w:rsid w:val="E3FF126E"/>
    <w:rsid w:val="E5BDBF6B"/>
    <w:rsid w:val="F57F241C"/>
    <w:rsid w:val="F7E39E3B"/>
    <w:rsid w:val="FBF376B8"/>
    <w:rsid w:val="FDBC0B67"/>
    <w:rsid w:val="FE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等线" w:eastAsia="等线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</w:pPr>
    <w:rPr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able of figures"/>
    <w:basedOn w:val="1"/>
    <w:next w:val="1"/>
    <w:qFormat/>
    <w:uiPriority w:val="0"/>
    <w:pPr>
      <w:widowControl/>
      <w:spacing w:after="120" w:line="360" w:lineRule="auto"/>
      <w:ind w:left="400" w:leftChars="200" w:hanging="200" w:hangingChars="200"/>
    </w:pPr>
    <w:rPr>
      <w:kern w:val="0"/>
      <w:sz w:val="24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2">
    <w:name w:val="annotation subject"/>
    <w:basedOn w:val="6"/>
    <w:next w:val="6"/>
    <w:qFormat/>
    <w:uiPriority w:val="0"/>
    <w:rPr>
      <w:b/>
    </w:rPr>
  </w:style>
  <w:style w:type="paragraph" w:styleId="13">
    <w:name w:val="Body Text First Indent 2"/>
    <w:basedOn w:val="7"/>
    <w:qFormat/>
    <w:uiPriority w:val="0"/>
    <w:pPr>
      <w:ind w:firstLine="200" w:firstLineChars="200"/>
    </w:pPr>
  </w:style>
  <w:style w:type="paragraph" w:customStyle="1" w:styleId="16">
    <w:name w:val="正文2"/>
    <w:basedOn w:val="7"/>
    <w:next w:val="1"/>
    <w:qFormat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ca-41"/>
    <w:qFormat/>
    <w:uiPriority w:val="0"/>
    <w:rPr>
      <w:rFonts w:ascii="宋体" w:eastAsia="宋体"/>
      <w:sz w:val="24"/>
      <w:szCs w:val="24"/>
    </w:rPr>
  </w:style>
  <w:style w:type="paragraph" w:customStyle="1" w:styleId="19">
    <w:name w:val="正文样式"/>
    <w:basedOn w:val="1"/>
    <w:qFormat/>
    <w:uiPriority w:val="0"/>
    <w:pPr>
      <w:spacing w:line="360" w:lineRule="auto"/>
      <w:ind w:firstLine="200" w:firstLineChars="200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2</Pages>
  <Words>4763</Words>
  <Characters>4992</Characters>
  <Lines>14</Lines>
  <Paragraphs>4</Paragraphs>
  <TotalTime>3</TotalTime>
  <ScaleCrop>false</ScaleCrop>
  <LinksUpToDate>false</LinksUpToDate>
  <CharactersWithSpaces>4995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2024-05-06T06:21:00Z</dcterms:created>
  <dc:creator>木林之风@</dc:creator>
  <cp:lastModifiedBy>Administrator</cp:lastModifiedBy>
  <dcterms:modified xsi:type="dcterms:W3CDTF">2024-11-14T06:59:17Z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0D1FE281F44D4C1FBDC633AED97E326F_13</vt:lpwstr>
  </property>
</Properties>
</file>