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A" w:rsidRDefault="0035786A" w:rsidP="0035786A">
      <w:pPr>
        <w:pStyle w:val="NormalIndent"/>
        <w:ind w:firstLine="0"/>
        <w:rPr>
          <w:rFonts w:eastAsia="仿宋_GB2312"/>
          <w:bCs/>
          <w:kern w:val="2"/>
          <w:sz w:val="32"/>
          <w:szCs w:val="32"/>
        </w:rPr>
      </w:pPr>
      <w:r>
        <w:rPr>
          <w:rFonts w:eastAsia="仿宋_GB2312"/>
          <w:bCs/>
          <w:kern w:val="2"/>
          <w:sz w:val="32"/>
          <w:szCs w:val="32"/>
        </w:rPr>
        <w:t>附件</w:t>
      </w:r>
      <w:r>
        <w:rPr>
          <w:rFonts w:eastAsia="仿宋_GB2312"/>
          <w:bCs/>
          <w:kern w:val="2"/>
          <w:sz w:val="32"/>
          <w:szCs w:val="32"/>
        </w:rPr>
        <w:t>1</w:t>
      </w:r>
    </w:p>
    <w:p w:rsidR="0035786A" w:rsidRDefault="0035786A" w:rsidP="0035786A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报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价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函</w:t>
      </w:r>
    </w:p>
    <w:p w:rsidR="0035786A" w:rsidRDefault="0035786A" w:rsidP="0035786A">
      <w:pPr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达州市生态环境污染防治中心：</w:t>
      </w:r>
    </w:p>
    <w:p w:rsidR="0035786A" w:rsidRDefault="0035786A" w:rsidP="0035786A">
      <w:pPr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按照你中心《关于公开咨询固定式、手持式尾气监测设备</w:t>
      </w:r>
      <w:r>
        <w:rPr>
          <w:rFonts w:ascii="Times New Roman" w:eastAsia="仿宋_GB2312" w:hAnsi="Times New Roman" w:hint="eastAsia"/>
          <w:bCs/>
          <w:sz w:val="32"/>
          <w:szCs w:val="32"/>
        </w:rPr>
        <w:t>及监控平台</w:t>
      </w:r>
      <w:r>
        <w:rPr>
          <w:rFonts w:ascii="Times New Roman" w:eastAsia="仿宋_GB2312" w:hAnsi="Times New Roman"/>
          <w:bCs/>
          <w:sz w:val="32"/>
          <w:szCs w:val="32"/>
        </w:rPr>
        <w:t>运维服务项目</w:t>
      </w:r>
      <w:r>
        <w:rPr>
          <w:rFonts w:ascii="Times New Roman" w:eastAsia="仿宋_GB2312" w:hAnsi="Times New Roman" w:hint="eastAsia"/>
          <w:bCs/>
          <w:sz w:val="32"/>
          <w:szCs w:val="32"/>
        </w:rPr>
        <w:t>采购控制</w:t>
      </w:r>
      <w:r>
        <w:rPr>
          <w:rFonts w:ascii="Times New Roman" w:eastAsia="仿宋_GB2312" w:hAnsi="Times New Roman"/>
          <w:bCs/>
          <w:sz w:val="32"/>
          <w:szCs w:val="32"/>
        </w:rPr>
        <w:t>价格的公告》要求，我公司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作出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以下报价，</w:t>
      </w:r>
      <w:r>
        <w:rPr>
          <w:rFonts w:ascii="Times New Roman" w:eastAsia="仿宋_GB2312" w:hAnsi="Times New Roman" w:hint="eastAsia"/>
          <w:bCs/>
          <w:sz w:val="32"/>
          <w:szCs w:val="32"/>
        </w:rPr>
        <w:t>为</w:t>
      </w:r>
      <w:r>
        <w:rPr>
          <w:rFonts w:ascii="Times New Roman" w:eastAsia="仿宋_GB2312" w:hAnsi="Times New Roman"/>
          <w:bCs/>
          <w:sz w:val="32"/>
          <w:szCs w:val="32"/>
        </w:rPr>
        <w:t>你中心下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步项目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采购</w:t>
      </w:r>
      <w:r>
        <w:rPr>
          <w:rFonts w:ascii="Times New Roman" w:eastAsia="仿宋_GB2312" w:hAnsi="Times New Roman" w:hint="eastAsia"/>
          <w:bCs/>
          <w:sz w:val="32"/>
          <w:szCs w:val="32"/>
        </w:rPr>
        <w:t>控制价的作</w:t>
      </w:r>
      <w:r>
        <w:rPr>
          <w:rFonts w:ascii="Times New Roman" w:eastAsia="仿宋_GB2312" w:hAnsi="Times New Roman"/>
          <w:bCs/>
          <w:sz w:val="32"/>
          <w:szCs w:val="32"/>
        </w:rPr>
        <w:t>参考。</w:t>
      </w:r>
    </w:p>
    <w:p w:rsidR="0035786A" w:rsidRDefault="0035786A" w:rsidP="0035786A">
      <w:pPr>
        <w:spacing w:line="360" w:lineRule="auto"/>
        <w:jc w:val="center"/>
        <w:outlineLvl w:val="1"/>
        <w:rPr>
          <w:rFonts w:ascii="Times New Roman" w:eastAsia="仿宋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/>
          <w:bCs/>
          <w:color w:val="000000"/>
          <w:sz w:val="28"/>
          <w:szCs w:val="28"/>
        </w:rPr>
        <w:t>一、项目服务内容及服务要求</w:t>
      </w:r>
    </w:p>
    <w:tbl>
      <w:tblPr>
        <w:tblpPr w:leftFromText="180" w:rightFromText="180" w:vertAnchor="text" w:tblpX="1" w:tblpY="1"/>
        <w:tblOverlap w:val="never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984"/>
        <w:gridCol w:w="5487"/>
        <w:gridCol w:w="1168"/>
        <w:gridCol w:w="925"/>
        <w:gridCol w:w="1114"/>
      </w:tblGrid>
      <w:tr w:rsidR="00147B12" w:rsidTr="00704D10">
        <w:trPr>
          <w:trHeight w:val="90"/>
          <w:tblHeader/>
        </w:trPr>
        <w:tc>
          <w:tcPr>
            <w:tcW w:w="639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8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服务名称</w:t>
            </w:r>
          </w:p>
        </w:tc>
        <w:tc>
          <w:tcPr>
            <w:tcW w:w="5487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服务内容及要求</w:t>
            </w:r>
          </w:p>
        </w:tc>
        <w:tc>
          <w:tcPr>
            <w:tcW w:w="1168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运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维设备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系统数量</w:t>
            </w:r>
          </w:p>
        </w:tc>
        <w:tc>
          <w:tcPr>
            <w:tcW w:w="925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价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格</w:t>
            </w:r>
          </w:p>
        </w:tc>
        <w:tc>
          <w:tcPr>
            <w:tcW w:w="111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47B12" w:rsidTr="00704D10">
        <w:trPr>
          <w:trHeight w:val="90"/>
        </w:trPr>
        <w:tc>
          <w:tcPr>
            <w:tcW w:w="639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84" w:type="dxa"/>
            <w:vAlign w:val="center"/>
          </w:tcPr>
          <w:p w:rsidR="00147B12" w:rsidRDefault="00147B12" w:rsidP="00147B12">
            <w:pPr>
              <w:adjustRightInd w:val="0"/>
              <w:snapToGrid w:val="0"/>
              <w:spacing w:line="187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固定式遥感检测设备运维服务</w:t>
            </w:r>
          </w:p>
        </w:tc>
        <w:tc>
          <w:tcPr>
            <w:tcW w:w="5487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系统检测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每月至少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次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：检查各个子系统是否正常工作，包括主机、空调、速度加速度系统、牌照识别系统、气象参数系统。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至少包含以下内容：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）检查主机各项参数是否正常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）检查速度加速度数据是否正常，并查看激光位置，确保速度激光光斑在接收探测位置；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）检查牌照识别系统是否正常。调节每一路车牌识别摄像机，确保车牌识别率达到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100%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）查看网络系统：检查外场与中心服务器的网络连接是否正常，数据能否正常上传。检查遥测主机网线与工控机、视频服务器间交换机的工作状态，确保远程登录中心服务器数据传输正常；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）查看红外光谱、紫外线光谱和绿光光强。根据实际情况，微调设备主机位置，确保红外、紫外吸收达到最佳状态；并适时调节角反射器位置，从而保证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10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路绿光完全打入接收探测端；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）检查工控机、各系统供电电源运行状态。采用万能表测量开关电源输出电压是否为正常值（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24V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），确保设备供电安全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  <w:p w:rsidR="00147B12" w:rsidRDefault="00147B12" w:rsidP="00147B12">
            <w:pPr>
              <w:pStyle w:val="a6"/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设备故障维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修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（如光谱仪、激光器、电源、空调、气象仪、摄像系统、机柜等）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当出现故障时，一周内更换。</w:t>
            </w:r>
          </w:p>
          <w:p w:rsidR="00147B12" w:rsidRDefault="00147B12" w:rsidP="00147B12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3.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</w:rPr>
              <w:t>氘灯更换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，每年至少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次。</w:t>
            </w:r>
          </w:p>
          <w:p w:rsidR="00147B12" w:rsidRDefault="00147B12" w:rsidP="00147B12">
            <w:pPr>
              <w:adjustRightInd w:val="0"/>
              <w:snapToGrid w:val="0"/>
              <w:ind w:firstLineChars="100" w:firstLine="24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lastRenderedPageBreak/>
              <w:t>4.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设备清洁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，每月至少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次。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清洁遥测主机、清洁机柜防护玻璃内表面和机柜窗口镜片；清洁道边角反射器，擦拭角反射器镜片、绿光镜片；处理机柜窗口积沙；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</w:rPr>
              <w:t>清洁工控机散热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</w:rPr>
              <w:t>风扇滤网，对工控机磁盘进行整理，查杀病毒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168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lastRenderedPageBreak/>
              <w:t>3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台（套）</w:t>
            </w:r>
          </w:p>
        </w:tc>
        <w:tc>
          <w:tcPr>
            <w:tcW w:w="925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47B12" w:rsidTr="00704D10">
        <w:trPr>
          <w:trHeight w:val="90"/>
        </w:trPr>
        <w:tc>
          <w:tcPr>
            <w:tcW w:w="639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984" w:type="dxa"/>
            <w:vAlign w:val="center"/>
          </w:tcPr>
          <w:p w:rsidR="00147B12" w:rsidRDefault="00147B12" w:rsidP="00147B12">
            <w:pPr>
              <w:adjustRightInd w:val="0"/>
              <w:snapToGrid w:val="0"/>
              <w:spacing w:line="269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手持式尾</w:t>
            </w: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气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检测设备</w:t>
            </w: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运维服务</w:t>
            </w:r>
          </w:p>
        </w:tc>
        <w:tc>
          <w:tcPr>
            <w:tcW w:w="5487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对现有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手持式汽车尾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气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检测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设备进行维修、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日常维护、配件更换、设备校准、内置锂电池更换、红外传感器更换、过滤器更换、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KMIRP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红外遥控打印机维护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，达到正常使用要求，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出现故障时，二日内维护更换达到正常使用标准。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对手持式汽车尾气检测设备配套的操作和通讯设备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进行进行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维修升级，达到正常使用和上传数据要求。</w:t>
            </w:r>
          </w:p>
        </w:tc>
        <w:tc>
          <w:tcPr>
            <w:tcW w:w="1168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台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25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47B12" w:rsidTr="00704D10">
        <w:trPr>
          <w:trHeight w:val="90"/>
        </w:trPr>
        <w:tc>
          <w:tcPr>
            <w:tcW w:w="639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8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平台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运维手持式尾</w:t>
            </w: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气</w:t>
            </w:r>
            <w:r>
              <w:rPr>
                <w:rFonts w:ascii="宋体" w:hAnsi="宋体" w:cs="宋体"/>
                <w:spacing w:val="11"/>
                <w:sz w:val="23"/>
                <w:szCs w:val="23"/>
              </w:rPr>
              <w:t>检测设备</w:t>
            </w:r>
            <w:r>
              <w:rPr>
                <w:rFonts w:ascii="宋体" w:hAnsi="宋体" w:cs="宋体" w:hint="eastAsia"/>
                <w:spacing w:val="11"/>
                <w:sz w:val="23"/>
                <w:szCs w:val="23"/>
              </w:rPr>
              <w:t>运维服务</w:t>
            </w:r>
          </w:p>
        </w:tc>
        <w:tc>
          <w:tcPr>
            <w:tcW w:w="5487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1.</w:t>
            </w:r>
            <w:r>
              <w:t>需支付</w:t>
            </w:r>
            <w:r>
              <w:rPr>
                <w:rFonts w:hint="eastAsia"/>
              </w:rPr>
              <w:t>管理平台</w:t>
            </w:r>
            <w:r>
              <w:t>运行产生的网络使用费及电费。</w:t>
            </w:r>
            <w:r>
              <w:rPr>
                <w:rFonts w:hint="eastAsia"/>
              </w:rPr>
              <w:t>（一年）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2.</w:t>
            </w:r>
            <w:r>
              <w:t>数据采集</w:t>
            </w:r>
            <w:r>
              <w:rPr>
                <w:rFonts w:hint="eastAsia"/>
              </w:rPr>
              <w:t>及尾气人工抽测</w:t>
            </w:r>
            <w:r>
              <w:t>服务。（</w:t>
            </w:r>
            <w:r>
              <w:rPr>
                <w:rFonts w:hint="eastAsia"/>
              </w:rPr>
              <w:t>服务</w:t>
            </w:r>
            <w:r>
              <w:t>人员</w:t>
            </w:r>
            <w:r>
              <w:t>1</w:t>
            </w:r>
            <w:r>
              <w:t>名）。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软件升级（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</w:rPr>
              <w:t>含系统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所需相关软件维护及更改、升级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，达到正常使用和上传数据要求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）；</w:t>
            </w:r>
          </w:p>
          <w:p w:rsidR="00147B12" w:rsidRDefault="00147B12" w:rsidP="00147B12">
            <w:pPr>
              <w:pStyle w:val="a0"/>
              <w:adjustRightInd w:val="0"/>
              <w:snapToGrid w:val="0"/>
              <w:spacing w:after="0"/>
              <w:ind w:firstLineChars="100" w:firstLine="24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数据处理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，每月至少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次。</w:t>
            </w:r>
          </w:p>
        </w:tc>
        <w:tc>
          <w:tcPr>
            <w:tcW w:w="1168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925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147B12" w:rsidTr="00704D10">
        <w:trPr>
          <w:trHeight w:val="673"/>
        </w:trPr>
        <w:tc>
          <w:tcPr>
            <w:tcW w:w="7110" w:type="dxa"/>
            <w:gridSpan w:val="3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center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68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25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147B12" w:rsidRDefault="00147B12" w:rsidP="00147B12">
            <w:pPr>
              <w:pStyle w:val="a0"/>
              <w:adjustRightInd w:val="0"/>
              <w:snapToGrid w:val="0"/>
              <w:spacing w:after="0"/>
              <w:jc w:val="left"/>
              <w:outlineLvl w:val="1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35786A" w:rsidRDefault="0035786A" w:rsidP="0035786A">
      <w:pPr>
        <w:rPr>
          <w:rFonts w:ascii="Times New Roman" w:hAnsi="Times New Roman"/>
          <w:sz w:val="24"/>
        </w:rPr>
      </w:pPr>
    </w:p>
    <w:p w:rsidR="0035786A" w:rsidRDefault="0035786A" w:rsidP="0035786A">
      <w:pPr>
        <w:rPr>
          <w:rFonts w:ascii="Times New Roman" w:hAnsi="Times New Roman"/>
        </w:rPr>
      </w:pPr>
    </w:p>
    <w:p w:rsidR="0035786A" w:rsidRDefault="0035786A" w:rsidP="0035786A">
      <w:pPr>
        <w:spacing w:line="360" w:lineRule="auto"/>
        <w:ind w:firstLineChars="1600" w:firstLine="51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报价单位（盖章）：</w:t>
      </w:r>
    </w:p>
    <w:p w:rsidR="0035786A" w:rsidRDefault="0035786A" w:rsidP="0035786A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bCs/>
          <w:sz w:val="32"/>
          <w:szCs w:val="32"/>
        </w:rPr>
        <w:t>日期：</w:t>
      </w:r>
      <w:r>
        <w:rPr>
          <w:rFonts w:ascii="Times New Roman" w:eastAsia="仿宋_GB2312" w:hAnsi="Times New Roman"/>
          <w:bCs/>
          <w:sz w:val="32"/>
          <w:szCs w:val="32"/>
        </w:rPr>
        <w:t>2024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日</w:t>
      </w:r>
    </w:p>
    <w:p w:rsidR="0035786A" w:rsidRDefault="0035786A" w:rsidP="0035786A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</w:p>
    <w:p w:rsidR="0035786A" w:rsidRDefault="0035786A" w:rsidP="0035786A">
      <w:pPr>
        <w:pStyle w:val="NormalIndent"/>
        <w:ind w:firstLine="0"/>
        <w:rPr>
          <w:rFonts w:eastAsia="仿宋_GB2312"/>
          <w:bCs/>
          <w:kern w:val="2"/>
          <w:sz w:val="32"/>
          <w:szCs w:val="32"/>
        </w:rPr>
      </w:pPr>
      <w:r>
        <w:rPr>
          <w:rFonts w:eastAsia="仿宋_GB2312"/>
          <w:bCs/>
          <w:kern w:val="2"/>
          <w:sz w:val="32"/>
          <w:szCs w:val="32"/>
        </w:rPr>
        <w:br w:type="page"/>
      </w:r>
      <w:r>
        <w:rPr>
          <w:rFonts w:eastAsia="仿宋_GB2312"/>
          <w:bCs/>
          <w:kern w:val="2"/>
          <w:sz w:val="32"/>
          <w:szCs w:val="32"/>
        </w:rPr>
        <w:lastRenderedPageBreak/>
        <w:t>附件</w:t>
      </w:r>
      <w:r>
        <w:rPr>
          <w:rFonts w:eastAsia="仿宋_GB2312"/>
          <w:bCs/>
          <w:kern w:val="2"/>
          <w:sz w:val="32"/>
          <w:szCs w:val="32"/>
        </w:rPr>
        <w:t>2</w:t>
      </w:r>
    </w:p>
    <w:p w:rsidR="0035786A" w:rsidRDefault="0035786A" w:rsidP="0035786A">
      <w:pPr>
        <w:jc w:val="center"/>
        <w:rPr>
          <w:rFonts w:ascii="Times New Roman" w:hAnsi="Times New Roman" w:hint="eastAsia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承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诺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函</w:t>
      </w:r>
    </w:p>
    <w:p w:rsidR="00147B12" w:rsidRPr="00147B12" w:rsidRDefault="00147B12" w:rsidP="00147B12">
      <w:pPr>
        <w:pStyle w:val="a0"/>
      </w:pPr>
    </w:p>
    <w:p w:rsidR="0035786A" w:rsidRDefault="0035786A" w:rsidP="0035786A">
      <w:pPr>
        <w:spacing w:line="360" w:lineRule="auto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达州市生态环境污染防治中心：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按照你中心</w:t>
      </w:r>
      <w:r w:rsidR="00147B12">
        <w:rPr>
          <w:rFonts w:ascii="Times New Roman" w:eastAsia="仿宋_GB2312" w:hAnsi="Times New Roman"/>
          <w:bCs/>
          <w:sz w:val="32"/>
          <w:szCs w:val="32"/>
        </w:rPr>
        <w:t>《关于公开咨询固定式、手持式尾气监测设备</w:t>
      </w:r>
      <w:r w:rsidR="00147B12">
        <w:rPr>
          <w:rFonts w:ascii="Times New Roman" w:eastAsia="仿宋_GB2312" w:hAnsi="Times New Roman" w:hint="eastAsia"/>
          <w:bCs/>
          <w:sz w:val="32"/>
          <w:szCs w:val="32"/>
        </w:rPr>
        <w:t>及监控平台</w:t>
      </w:r>
      <w:r w:rsidR="00147B12">
        <w:rPr>
          <w:rFonts w:ascii="Times New Roman" w:eastAsia="仿宋_GB2312" w:hAnsi="Times New Roman"/>
          <w:bCs/>
          <w:sz w:val="32"/>
          <w:szCs w:val="32"/>
        </w:rPr>
        <w:t>运维服务项目</w:t>
      </w:r>
      <w:r w:rsidR="00147B12">
        <w:rPr>
          <w:rFonts w:ascii="Times New Roman" w:eastAsia="仿宋_GB2312" w:hAnsi="Times New Roman" w:hint="eastAsia"/>
          <w:bCs/>
          <w:sz w:val="32"/>
          <w:szCs w:val="32"/>
        </w:rPr>
        <w:t>采购控制</w:t>
      </w:r>
      <w:r w:rsidR="00147B12">
        <w:rPr>
          <w:rFonts w:ascii="Times New Roman" w:eastAsia="仿宋_GB2312" w:hAnsi="Times New Roman"/>
          <w:bCs/>
          <w:sz w:val="32"/>
          <w:szCs w:val="32"/>
        </w:rPr>
        <w:t>价格的公告》</w:t>
      </w:r>
      <w:r>
        <w:rPr>
          <w:rFonts w:ascii="Times New Roman" w:eastAsia="仿宋_GB2312" w:hAnsi="Times New Roman"/>
          <w:bCs/>
          <w:sz w:val="32"/>
          <w:szCs w:val="32"/>
        </w:rPr>
        <w:t>要求，我公司承诺，符合本公告提出的价格咨询条件，满足《中华人民共和国政府采购法》第二十二条第一款第</w:t>
      </w:r>
      <w:r>
        <w:rPr>
          <w:rFonts w:ascii="Times New Roman" w:eastAsia="仿宋_GB2312" w:hAnsi="Times New Roman"/>
          <w:bCs/>
          <w:sz w:val="32"/>
          <w:szCs w:val="32"/>
        </w:rPr>
        <w:t>1</w:t>
      </w:r>
      <w:r>
        <w:rPr>
          <w:rFonts w:ascii="Times New Roman" w:eastAsia="仿宋_GB2312" w:hAnsi="Times New Roman"/>
          <w:bCs/>
          <w:sz w:val="32"/>
          <w:szCs w:val="32"/>
        </w:rPr>
        <w:t>项至第</w:t>
      </w:r>
      <w:r>
        <w:rPr>
          <w:rFonts w:ascii="Times New Roman" w:eastAsia="仿宋_GB2312" w:hAnsi="Times New Roman"/>
          <w:bCs/>
          <w:sz w:val="32"/>
          <w:szCs w:val="32"/>
        </w:rPr>
        <w:t>5</w:t>
      </w:r>
      <w:r>
        <w:rPr>
          <w:rFonts w:ascii="Times New Roman" w:eastAsia="仿宋_GB2312" w:hAnsi="Times New Roman"/>
          <w:bCs/>
          <w:sz w:val="32"/>
          <w:szCs w:val="32"/>
        </w:rPr>
        <w:t>项规定的条件：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①</w:t>
      </w:r>
      <w:r>
        <w:rPr>
          <w:rFonts w:ascii="Times New Roman" w:eastAsia="仿宋_GB2312" w:hAnsi="Times New Roman"/>
          <w:bCs/>
          <w:sz w:val="32"/>
          <w:szCs w:val="32"/>
        </w:rPr>
        <w:t>具有独立承担民</w:t>
      </w:r>
      <w:bookmarkStart w:id="0" w:name="_GoBack"/>
      <w:bookmarkEnd w:id="0"/>
      <w:r>
        <w:rPr>
          <w:rFonts w:ascii="Times New Roman" w:eastAsia="仿宋_GB2312" w:hAnsi="Times New Roman"/>
          <w:bCs/>
          <w:sz w:val="32"/>
          <w:szCs w:val="32"/>
        </w:rPr>
        <w:t>事责任的能力；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②</w:t>
      </w:r>
      <w:r>
        <w:rPr>
          <w:rFonts w:ascii="Times New Roman" w:eastAsia="仿宋_GB2312" w:hAnsi="Times New Roman"/>
          <w:bCs/>
          <w:sz w:val="32"/>
          <w:szCs w:val="32"/>
        </w:rPr>
        <w:t>具有良好的商业信誉和健全的财务会计制度；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③</w:t>
      </w:r>
      <w:r>
        <w:rPr>
          <w:rFonts w:ascii="Times New Roman" w:eastAsia="仿宋_GB2312" w:hAnsi="Times New Roman"/>
          <w:bCs/>
          <w:sz w:val="32"/>
          <w:szCs w:val="32"/>
        </w:rPr>
        <w:t>具有履行合同所必须的设备和专业技术能力；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④</w:t>
      </w:r>
      <w:r>
        <w:rPr>
          <w:rFonts w:ascii="Times New Roman" w:eastAsia="仿宋_GB2312" w:hAnsi="Times New Roman"/>
          <w:bCs/>
          <w:sz w:val="32"/>
          <w:szCs w:val="32"/>
        </w:rPr>
        <w:t>具有依法缴纳税收和社会保障资金的良好记录；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⑤</w:t>
      </w:r>
      <w:r>
        <w:rPr>
          <w:rFonts w:ascii="Times New Roman" w:eastAsia="仿宋_GB2312" w:hAnsi="Times New Roman"/>
          <w:bCs/>
          <w:sz w:val="32"/>
          <w:szCs w:val="32"/>
        </w:rPr>
        <w:t>参加本次政府采购活动前三年内，在经营活动中没有重大违法记录。</w:t>
      </w:r>
    </w:p>
    <w:p w:rsidR="0035786A" w:rsidRDefault="0035786A" w:rsidP="0035786A">
      <w:pPr>
        <w:pStyle w:val="NormalIndent"/>
        <w:ind w:firstLine="0"/>
        <w:rPr>
          <w:rFonts w:eastAsia="仿宋_GB2312"/>
          <w:bCs/>
          <w:kern w:val="2"/>
          <w:sz w:val="32"/>
          <w:szCs w:val="32"/>
        </w:rPr>
      </w:pPr>
    </w:p>
    <w:p w:rsidR="0035786A" w:rsidRDefault="0035786A" w:rsidP="0035786A">
      <w:pPr>
        <w:rPr>
          <w:rFonts w:ascii="Times New Roman" w:hAnsi="Times New Roman"/>
        </w:rPr>
      </w:pPr>
    </w:p>
    <w:p w:rsidR="0035786A" w:rsidRDefault="0035786A" w:rsidP="0035786A">
      <w:pPr>
        <w:spacing w:line="360" w:lineRule="auto"/>
        <w:ind w:firstLineChars="200" w:firstLine="42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/>
          <w:bCs/>
          <w:sz w:val="32"/>
          <w:szCs w:val="32"/>
        </w:rPr>
        <w:t>报价单位（盖章）：</w:t>
      </w:r>
    </w:p>
    <w:p w:rsidR="0035786A" w:rsidRDefault="0035786A" w:rsidP="0035786A">
      <w:pPr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bCs/>
          <w:sz w:val="32"/>
          <w:szCs w:val="32"/>
        </w:rPr>
        <w:t>日期：</w:t>
      </w:r>
      <w:r>
        <w:rPr>
          <w:rFonts w:ascii="Times New Roman" w:eastAsia="仿宋_GB2312" w:hAnsi="Times New Roman"/>
          <w:bCs/>
          <w:sz w:val="32"/>
          <w:szCs w:val="32"/>
        </w:rPr>
        <w:t>2024</w:t>
      </w:r>
      <w:r>
        <w:rPr>
          <w:rFonts w:ascii="Times New Roman" w:eastAsia="仿宋_GB2312" w:hAnsi="Times New Roman"/>
          <w:bCs/>
          <w:sz w:val="32"/>
          <w:szCs w:val="32"/>
        </w:rPr>
        <w:t>年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月</w:t>
      </w:r>
      <w:r>
        <w:rPr>
          <w:rFonts w:ascii="Times New Roman" w:eastAsia="仿宋_GB2312" w:hAnsi="Times New Roman"/>
          <w:bCs/>
          <w:sz w:val="32"/>
          <w:szCs w:val="32"/>
        </w:rPr>
        <w:t xml:space="preserve">  </w:t>
      </w:r>
      <w:r>
        <w:rPr>
          <w:rFonts w:ascii="Times New Roman" w:eastAsia="仿宋_GB2312" w:hAnsi="Times New Roman"/>
          <w:bCs/>
          <w:sz w:val="32"/>
          <w:szCs w:val="32"/>
        </w:rPr>
        <w:t>日</w:t>
      </w:r>
    </w:p>
    <w:p w:rsidR="002C29D4" w:rsidRPr="0035786A" w:rsidRDefault="002C29D4"/>
    <w:sectPr w:rsidR="002C29D4" w:rsidRPr="0035786A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31E" w:rsidRDefault="0048231E">
      <w:r>
        <w:separator/>
      </w:r>
    </w:p>
  </w:endnote>
  <w:endnote w:type="continuationSeparator" w:id="0">
    <w:p w:rsidR="0048231E" w:rsidRDefault="0048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CB" w:rsidRDefault="0035786A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CB" w:rsidRDefault="0035786A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47B1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291FCB" w:rsidRDefault="0035786A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47B1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31E" w:rsidRDefault="0048231E">
      <w:r>
        <w:separator/>
      </w:r>
    </w:p>
  </w:footnote>
  <w:footnote w:type="continuationSeparator" w:id="0">
    <w:p w:rsidR="0048231E" w:rsidRDefault="0048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6A"/>
    <w:rsid w:val="00147B12"/>
    <w:rsid w:val="00291FCB"/>
    <w:rsid w:val="002C29D4"/>
    <w:rsid w:val="0035786A"/>
    <w:rsid w:val="0048231E"/>
    <w:rsid w:val="00961FD9"/>
    <w:rsid w:val="00A0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78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A01569"/>
    <w:rPr>
      <w:b/>
    </w:rPr>
  </w:style>
  <w:style w:type="paragraph" w:styleId="a5">
    <w:name w:val="Normal (Web)"/>
    <w:basedOn w:val="a"/>
    <w:qFormat/>
    <w:rsid w:val="00A01569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0">
    <w:name w:val="Body Text"/>
    <w:basedOn w:val="a"/>
    <w:next w:val="a6"/>
    <w:link w:val="Char"/>
    <w:qFormat/>
    <w:rsid w:val="0035786A"/>
    <w:pPr>
      <w:spacing w:after="120"/>
    </w:pPr>
  </w:style>
  <w:style w:type="character" w:customStyle="1" w:styleId="Char">
    <w:name w:val="正文文本 Char"/>
    <w:basedOn w:val="a1"/>
    <w:link w:val="a0"/>
    <w:rsid w:val="0035786A"/>
    <w:rPr>
      <w:rFonts w:ascii="Calibri" w:hAnsi="Calibri"/>
      <w:kern w:val="2"/>
      <w:sz w:val="21"/>
      <w:szCs w:val="24"/>
    </w:rPr>
  </w:style>
  <w:style w:type="paragraph" w:styleId="a6">
    <w:name w:val="Subtitle"/>
    <w:basedOn w:val="a"/>
    <w:next w:val="a"/>
    <w:link w:val="Char0"/>
    <w:qFormat/>
    <w:rsid w:val="0035786A"/>
    <w:rPr>
      <w:rFonts w:ascii="宋体"/>
      <w:sz w:val="28"/>
      <w:szCs w:val="20"/>
    </w:rPr>
  </w:style>
  <w:style w:type="character" w:customStyle="1" w:styleId="Char0">
    <w:name w:val="副标题 Char"/>
    <w:basedOn w:val="a1"/>
    <w:link w:val="a6"/>
    <w:rsid w:val="0035786A"/>
    <w:rPr>
      <w:rFonts w:ascii="宋体" w:hAnsi="Calibri"/>
      <w:kern w:val="2"/>
      <w:sz w:val="28"/>
    </w:rPr>
  </w:style>
  <w:style w:type="paragraph" w:styleId="a7">
    <w:name w:val="footer"/>
    <w:basedOn w:val="a"/>
    <w:link w:val="Char1"/>
    <w:rsid w:val="003578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7"/>
    <w:rsid w:val="0035786A"/>
    <w:rPr>
      <w:rFonts w:ascii="Calibri" w:hAnsi="Calibri"/>
      <w:kern w:val="2"/>
      <w:sz w:val="18"/>
      <w:szCs w:val="24"/>
    </w:rPr>
  </w:style>
  <w:style w:type="paragraph" w:customStyle="1" w:styleId="NormalIndent">
    <w:name w:val="NormalIndent"/>
    <w:basedOn w:val="a"/>
    <w:qFormat/>
    <w:rsid w:val="0035786A"/>
    <w:pPr>
      <w:ind w:firstLine="420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14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147B1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5786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A01569"/>
    <w:rPr>
      <w:b/>
    </w:rPr>
  </w:style>
  <w:style w:type="paragraph" w:styleId="a5">
    <w:name w:val="Normal (Web)"/>
    <w:basedOn w:val="a"/>
    <w:qFormat/>
    <w:rsid w:val="00A01569"/>
    <w:pPr>
      <w:spacing w:beforeAutospacing="1" w:afterAutospacing="1"/>
      <w:jc w:val="left"/>
    </w:pPr>
    <w:rPr>
      <w:rFonts w:cs="宋体"/>
      <w:kern w:val="0"/>
      <w:sz w:val="24"/>
    </w:rPr>
  </w:style>
  <w:style w:type="paragraph" w:styleId="a0">
    <w:name w:val="Body Text"/>
    <w:basedOn w:val="a"/>
    <w:next w:val="a6"/>
    <w:link w:val="Char"/>
    <w:qFormat/>
    <w:rsid w:val="0035786A"/>
    <w:pPr>
      <w:spacing w:after="120"/>
    </w:pPr>
  </w:style>
  <w:style w:type="character" w:customStyle="1" w:styleId="Char">
    <w:name w:val="正文文本 Char"/>
    <w:basedOn w:val="a1"/>
    <w:link w:val="a0"/>
    <w:rsid w:val="0035786A"/>
    <w:rPr>
      <w:rFonts w:ascii="Calibri" w:hAnsi="Calibri"/>
      <w:kern w:val="2"/>
      <w:sz w:val="21"/>
      <w:szCs w:val="24"/>
    </w:rPr>
  </w:style>
  <w:style w:type="paragraph" w:styleId="a6">
    <w:name w:val="Subtitle"/>
    <w:basedOn w:val="a"/>
    <w:next w:val="a"/>
    <w:link w:val="Char0"/>
    <w:qFormat/>
    <w:rsid w:val="0035786A"/>
    <w:rPr>
      <w:rFonts w:ascii="宋体"/>
      <w:sz w:val="28"/>
      <w:szCs w:val="20"/>
    </w:rPr>
  </w:style>
  <w:style w:type="character" w:customStyle="1" w:styleId="Char0">
    <w:name w:val="副标题 Char"/>
    <w:basedOn w:val="a1"/>
    <w:link w:val="a6"/>
    <w:rsid w:val="0035786A"/>
    <w:rPr>
      <w:rFonts w:ascii="宋体" w:hAnsi="Calibri"/>
      <w:kern w:val="2"/>
      <w:sz w:val="28"/>
    </w:rPr>
  </w:style>
  <w:style w:type="paragraph" w:styleId="a7">
    <w:name w:val="footer"/>
    <w:basedOn w:val="a"/>
    <w:link w:val="Char1"/>
    <w:rsid w:val="0035786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7"/>
    <w:rsid w:val="0035786A"/>
    <w:rPr>
      <w:rFonts w:ascii="Calibri" w:hAnsi="Calibri"/>
      <w:kern w:val="2"/>
      <w:sz w:val="18"/>
      <w:szCs w:val="24"/>
    </w:rPr>
  </w:style>
  <w:style w:type="paragraph" w:customStyle="1" w:styleId="NormalIndent">
    <w:name w:val="NormalIndent"/>
    <w:basedOn w:val="a"/>
    <w:qFormat/>
    <w:rsid w:val="0035786A"/>
    <w:pPr>
      <w:ind w:firstLine="420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147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8"/>
    <w:uiPriority w:val="99"/>
    <w:rsid w:val="00147B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1239</Characters>
  <Application>Microsoft Office Word</Application>
  <DocSecurity>0</DocSecurity>
  <Lines>10</Lines>
  <Paragraphs>2</Paragraphs>
  <ScaleCrop>false</ScaleCrop>
  <Company>ICOS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杜青</cp:lastModifiedBy>
  <cp:revision>2</cp:revision>
  <dcterms:created xsi:type="dcterms:W3CDTF">2024-08-22T07:16:00Z</dcterms:created>
  <dcterms:modified xsi:type="dcterms:W3CDTF">2024-08-22T07:16:00Z</dcterms:modified>
</cp:coreProperties>
</file>