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936" w:tblpY="2455"/>
        <w:tblOverlap w:val="neve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716"/>
        <w:gridCol w:w="717"/>
        <w:gridCol w:w="929"/>
        <w:gridCol w:w="929"/>
        <w:gridCol w:w="5551"/>
      </w:tblGrid>
      <w:tr w:rsidR="00BB002A" w:rsidRPr="00B057C5" w:rsidTr="00BB002A">
        <w:trPr>
          <w:trHeight w:val="955"/>
        </w:trPr>
        <w:tc>
          <w:tcPr>
            <w:tcW w:w="700" w:type="dxa"/>
            <w:vAlign w:val="center"/>
          </w:tcPr>
          <w:p w:rsidR="00BB002A" w:rsidRPr="00A6715D" w:rsidRDefault="00BB002A">
            <w:pPr>
              <w:jc w:val="center"/>
              <w:rPr>
                <w:b/>
              </w:rPr>
            </w:pPr>
            <w:r w:rsidRPr="00A6715D">
              <w:rPr>
                <w:b/>
              </w:rPr>
              <w:t>项目名称</w:t>
            </w:r>
          </w:p>
        </w:tc>
        <w:tc>
          <w:tcPr>
            <w:tcW w:w="716" w:type="dxa"/>
            <w:vAlign w:val="center"/>
          </w:tcPr>
          <w:p w:rsidR="00BB002A" w:rsidRPr="00A6715D" w:rsidRDefault="00BB002A">
            <w:pPr>
              <w:jc w:val="center"/>
              <w:rPr>
                <w:b/>
              </w:rPr>
            </w:pPr>
            <w:r w:rsidRPr="00A6715D">
              <w:rPr>
                <w:b/>
              </w:rPr>
              <w:t>建设地点</w:t>
            </w:r>
          </w:p>
        </w:tc>
        <w:tc>
          <w:tcPr>
            <w:tcW w:w="717" w:type="dxa"/>
            <w:vAlign w:val="center"/>
          </w:tcPr>
          <w:p w:rsidR="00BB002A" w:rsidRPr="00A6715D" w:rsidRDefault="00BB002A">
            <w:pPr>
              <w:jc w:val="center"/>
              <w:rPr>
                <w:b/>
              </w:rPr>
            </w:pPr>
            <w:r w:rsidRPr="00A6715D">
              <w:rPr>
                <w:b/>
              </w:rPr>
              <w:t>建设单位</w:t>
            </w:r>
          </w:p>
        </w:tc>
        <w:tc>
          <w:tcPr>
            <w:tcW w:w="929" w:type="dxa"/>
          </w:tcPr>
          <w:p w:rsidR="00BB002A" w:rsidRPr="00A6715D" w:rsidRDefault="00BB002A">
            <w:pPr>
              <w:jc w:val="center"/>
              <w:rPr>
                <w:b/>
              </w:rPr>
            </w:pPr>
            <w:r>
              <w:rPr>
                <w:b/>
                <w:sz w:val="24"/>
              </w:rPr>
              <w:t>环境影响评价机构</w:t>
            </w:r>
          </w:p>
        </w:tc>
        <w:tc>
          <w:tcPr>
            <w:tcW w:w="929" w:type="dxa"/>
            <w:vAlign w:val="center"/>
          </w:tcPr>
          <w:p w:rsidR="00BB002A" w:rsidRPr="00A6715D" w:rsidRDefault="00BB002A">
            <w:pPr>
              <w:jc w:val="center"/>
              <w:rPr>
                <w:b/>
              </w:rPr>
            </w:pPr>
            <w:r w:rsidRPr="00A6715D">
              <w:rPr>
                <w:b/>
              </w:rPr>
              <w:t>项目概况</w:t>
            </w:r>
          </w:p>
        </w:tc>
        <w:tc>
          <w:tcPr>
            <w:tcW w:w="5551" w:type="dxa"/>
            <w:vAlign w:val="center"/>
          </w:tcPr>
          <w:p w:rsidR="00BB002A" w:rsidRPr="00A6715D" w:rsidRDefault="00BB002A">
            <w:pPr>
              <w:jc w:val="center"/>
              <w:rPr>
                <w:b/>
              </w:rPr>
            </w:pPr>
            <w:r w:rsidRPr="00A6715D">
              <w:rPr>
                <w:b/>
              </w:rPr>
              <w:t>主要环境影响及预防或者减轻</w:t>
            </w:r>
          </w:p>
          <w:p w:rsidR="00BB002A" w:rsidRPr="00A6715D" w:rsidRDefault="00BB002A">
            <w:pPr>
              <w:jc w:val="center"/>
              <w:rPr>
                <w:b/>
              </w:rPr>
            </w:pPr>
            <w:r w:rsidRPr="00A6715D">
              <w:rPr>
                <w:b/>
              </w:rPr>
              <w:t>不良环境影响的对策和措施</w:t>
            </w:r>
          </w:p>
        </w:tc>
      </w:tr>
      <w:tr w:rsidR="00BB002A" w:rsidRPr="00B057C5" w:rsidTr="00BB002A">
        <w:trPr>
          <w:trHeight w:val="5495"/>
        </w:trPr>
        <w:tc>
          <w:tcPr>
            <w:tcW w:w="700" w:type="dxa"/>
            <w:vAlign w:val="center"/>
          </w:tcPr>
          <w:p w:rsidR="00BB002A" w:rsidRPr="00B057C5" w:rsidRDefault="00BB002A">
            <w:pPr>
              <w:jc w:val="center"/>
            </w:pPr>
            <w:r w:rsidRPr="00B057C5">
              <w:rPr>
                <w:color w:val="000000"/>
                <w:szCs w:val="21"/>
              </w:rPr>
              <w:t>达州市第二工业园区排水系统麻柳污水处理厂工程（一期）</w:t>
            </w:r>
          </w:p>
        </w:tc>
        <w:tc>
          <w:tcPr>
            <w:tcW w:w="716" w:type="dxa"/>
            <w:vAlign w:val="center"/>
          </w:tcPr>
          <w:p w:rsidR="00BB002A" w:rsidRPr="00B057C5" w:rsidRDefault="00BB002A">
            <w:pPr>
              <w:jc w:val="center"/>
            </w:pPr>
            <w:r w:rsidRPr="00B057C5">
              <w:t>达州市麻柳镇沙河村</w:t>
            </w:r>
          </w:p>
        </w:tc>
        <w:tc>
          <w:tcPr>
            <w:tcW w:w="717" w:type="dxa"/>
            <w:vAlign w:val="center"/>
          </w:tcPr>
          <w:p w:rsidR="00BB002A" w:rsidRPr="00B057C5" w:rsidRDefault="00BB002A">
            <w:pPr>
              <w:jc w:val="center"/>
            </w:pPr>
            <w:r w:rsidRPr="00B057C5">
              <w:rPr>
                <w:color w:val="000000"/>
                <w:szCs w:val="21"/>
              </w:rPr>
              <w:t>达州市惠泉污水处理有限公司</w:t>
            </w:r>
          </w:p>
        </w:tc>
        <w:tc>
          <w:tcPr>
            <w:tcW w:w="929" w:type="dxa"/>
            <w:vAlign w:val="center"/>
          </w:tcPr>
          <w:p w:rsidR="00BB002A" w:rsidRPr="00493C32" w:rsidRDefault="00BB002A" w:rsidP="00A6715D">
            <w:pPr>
              <w:rPr>
                <w:color w:val="000000"/>
                <w:szCs w:val="21"/>
              </w:rPr>
            </w:pPr>
            <w:r w:rsidRPr="00BB002A">
              <w:rPr>
                <w:color w:val="000000"/>
                <w:szCs w:val="21"/>
              </w:rPr>
              <w:t>成都艺博环美环保科技有限公司</w:t>
            </w:r>
          </w:p>
        </w:tc>
        <w:tc>
          <w:tcPr>
            <w:tcW w:w="929" w:type="dxa"/>
            <w:vAlign w:val="center"/>
          </w:tcPr>
          <w:p w:rsidR="00BB002A" w:rsidRPr="00B057C5" w:rsidRDefault="00BB002A" w:rsidP="00A6715D">
            <w:r w:rsidRPr="00493C32">
              <w:rPr>
                <w:color w:val="000000"/>
                <w:szCs w:val="21"/>
              </w:rPr>
              <w:t>本工程为达州市第二工业园区污水处理厂一期建设。本工程主要服务于</w:t>
            </w:r>
            <w:bookmarkStart w:id="0" w:name="_Hlk87978033"/>
            <w:r w:rsidRPr="00493C32">
              <w:rPr>
                <w:color w:val="000000"/>
                <w:szCs w:val="21"/>
              </w:rPr>
              <w:t>达州市第二工业园区近期规划区域（</w:t>
            </w:r>
            <w:r w:rsidRPr="00493C32">
              <w:rPr>
                <w:color w:val="000000"/>
                <w:szCs w:val="21"/>
              </w:rPr>
              <w:t>8.72km2</w:t>
            </w:r>
            <w:r w:rsidRPr="00493C32">
              <w:rPr>
                <w:color w:val="000000"/>
                <w:szCs w:val="21"/>
              </w:rPr>
              <w:t>）</w:t>
            </w:r>
            <w:bookmarkEnd w:id="0"/>
            <w:r w:rsidRPr="00493C32">
              <w:rPr>
                <w:color w:val="000000"/>
                <w:szCs w:val="21"/>
              </w:rPr>
              <w:t>，污水处理规模为</w:t>
            </w:r>
            <w:r w:rsidRPr="00493C32">
              <w:rPr>
                <w:color w:val="000000"/>
                <w:szCs w:val="21"/>
              </w:rPr>
              <w:t>0.5</w:t>
            </w:r>
            <w:r w:rsidRPr="00493C32">
              <w:rPr>
                <w:color w:val="000000"/>
                <w:szCs w:val="21"/>
              </w:rPr>
              <w:t>万</w:t>
            </w:r>
            <w:r w:rsidRPr="00493C32">
              <w:rPr>
                <w:color w:val="000000"/>
                <w:szCs w:val="21"/>
              </w:rPr>
              <w:t>m3/d</w:t>
            </w:r>
            <w:r w:rsidRPr="00493C32">
              <w:rPr>
                <w:color w:val="000000"/>
                <w:szCs w:val="21"/>
              </w:rPr>
              <w:t>，经处理达标后排放至州河。</w:t>
            </w:r>
            <w:r>
              <w:rPr>
                <w:rFonts w:hint="eastAsia"/>
                <w:color w:val="000000"/>
                <w:szCs w:val="21"/>
              </w:rPr>
              <w:t>主要建设包括主体工程、辅助工程、公</w:t>
            </w:r>
            <w:proofErr w:type="gramStart"/>
            <w:r>
              <w:rPr>
                <w:rFonts w:hint="eastAsia"/>
                <w:color w:val="000000"/>
                <w:szCs w:val="21"/>
              </w:rPr>
              <w:t>辅工程</w:t>
            </w:r>
            <w:proofErr w:type="gramEnd"/>
            <w:r>
              <w:rPr>
                <w:rFonts w:hint="eastAsia"/>
                <w:color w:val="000000"/>
                <w:szCs w:val="21"/>
              </w:rPr>
              <w:t>和环保工程。项目总投资</w:t>
            </w:r>
            <w:r w:rsidRPr="00E031F9">
              <w:t>13375</w:t>
            </w:r>
            <w:r w:rsidRPr="00E031F9">
              <w:t>万元</w:t>
            </w:r>
            <w:r>
              <w:rPr>
                <w:rFonts w:hint="eastAsia"/>
              </w:rPr>
              <w:t>，环保投</w:t>
            </w:r>
            <w:r>
              <w:rPr>
                <w:rFonts w:hint="eastAsia"/>
              </w:rPr>
              <w:lastRenderedPageBreak/>
              <w:t>资</w:t>
            </w:r>
            <w:r w:rsidRPr="00E031F9">
              <w:t>558</w:t>
            </w:r>
            <w:r>
              <w:rPr>
                <w:rFonts w:hint="eastAsia"/>
              </w:rPr>
              <w:t>万元。</w:t>
            </w:r>
          </w:p>
        </w:tc>
        <w:tc>
          <w:tcPr>
            <w:tcW w:w="5551" w:type="dxa"/>
            <w:vAlign w:val="center"/>
          </w:tcPr>
          <w:p w:rsidR="00BB002A" w:rsidRPr="00493C32" w:rsidRDefault="00BB002A" w:rsidP="00493C32">
            <w:pPr>
              <w:adjustRightInd w:val="0"/>
              <w:snapToGrid w:val="0"/>
              <w:spacing w:line="300" w:lineRule="exact"/>
              <w:outlineLvl w:val="1"/>
              <w:rPr>
                <w:b/>
                <w:szCs w:val="21"/>
              </w:rPr>
            </w:pPr>
            <w:r>
              <w:rPr>
                <w:b/>
                <w:szCs w:val="21"/>
              </w:rPr>
              <w:lastRenderedPageBreak/>
              <w:t>一、施工期环境影响及污染防治措施</w:t>
            </w:r>
          </w:p>
          <w:p w:rsidR="00BB002A" w:rsidRPr="00B057C5" w:rsidRDefault="00BB002A" w:rsidP="00B057C5">
            <w:pPr>
              <w:rPr>
                <w:szCs w:val="21"/>
              </w:rPr>
            </w:pPr>
            <w:r w:rsidRPr="00B057C5">
              <w:rPr>
                <w:b/>
                <w:bCs/>
                <w:szCs w:val="21"/>
              </w:rPr>
              <w:t>废气</w:t>
            </w:r>
            <w:r w:rsidRPr="00B057C5">
              <w:rPr>
                <w:szCs w:val="21"/>
              </w:rPr>
              <w:t>：</w:t>
            </w:r>
          </w:p>
          <w:p w:rsidR="00BB002A" w:rsidRPr="00FC7FA6" w:rsidRDefault="00BB002A" w:rsidP="00FC7FA6">
            <w:pPr>
              <w:pStyle w:val="Default"/>
              <w:jc w:val="both"/>
              <w:rPr>
                <w:rFonts w:ascii="Times New Roman" w:hAnsi="Times New Roman" w:cs="Times New Roman"/>
                <w:sz w:val="21"/>
                <w:szCs w:val="21"/>
              </w:rPr>
            </w:pPr>
            <w:r w:rsidRPr="00B057C5">
              <w:rPr>
                <w:rFonts w:ascii="Times New Roman" w:hAnsi="Times New Roman" w:cs="Times New Roman"/>
                <w:sz w:val="21"/>
                <w:szCs w:val="21"/>
              </w:rPr>
              <w:t>施工</w:t>
            </w:r>
            <w:r>
              <w:rPr>
                <w:rFonts w:ascii="Times New Roman" w:hAnsi="Times New Roman" w:cs="Times New Roman" w:hint="eastAsia"/>
                <w:sz w:val="21"/>
                <w:szCs w:val="21"/>
              </w:rPr>
              <w:t>现场</w:t>
            </w:r>
            <w:r w:rsidRPr="00B057C5">
              <w:rPr>
                <w:rFonts w:ascii="Times New Roman" w:hAnsi="Times New Roman" w:cs="Times New Roman"/>
                <w:sz w:val="21"/>
                <w:szCs w:val="21"/>
              </w:rPr>
              <w:t>设置围挡，顶部设置喷雾除尘设施，封闭施工，定期地面洒水</w:t>
            </w:r>
            <w:r>
              <w:rPr>
                <w:rFonts w:ascii="Times New Roman" w:hAnsi="Times New Roman" w:cs="Times New Roman" w:hint="eastAsia"/>
                <w:sz w:val="21"/>
                <w:szCs w:val="21"/>
              </w:rPr>
              <w:t>降尘</w:t>
            </w:r>
            <w:r w:rsidRPr="00B057C5">
              <w:rPr>
                <w:rFonts w:ascii="Times New Roman" w:hAnsi="Times New Roman" w:cs="Times New Roman"/>
                <w:sz w:val="21"/>
                <w:szCs w:val="21"/>
              </w:rPr>
              <w:t>，及时清除路面撒土</w:t>
            </w:r>
            <w:r w:rsidRPr="00FC7FA6">
              <w:rPr>
                <w:rFonts w:ascii="Times New Roman" w:hAnsi="Times New Roman" w:cs="Times New Roman"/>
                <w:sz w:val="21"/>
                <w:szCs w:val="21"/>
              </w:rPr>
              <w:t>：选择环保型油漆和涂料，并加强管理，装修过程中注意室内通风。</w:t>
            </w:r>
          </w:p>
          <w:p w:rsidR="00BB002A" w:rsidRPr="00B057C5" w:rsidRDefault="00BB002A" w:rsidP="00B057C5">
            <w:pPr>
              <w:rPr>
                <w:b/>
                <w:bCs/>
                <w:szCs w:val="21"/>
              </w:rPr>
            </w:pPr>
            <w:r w:rsidRPr="00B057C5">
              <w:rPr>
                <w:b/>
                <w:bCs/>
                <w:szCs w:val="21"/>
              </w:rPr>
              <w:t>废水：</w:t>
            </w:r>
          </w:p>
          <w:p w:rsidR="00BB002A" w:rsidRPr="00FC7FA6" w:rsidRDefault="00BB002A" w:rsidP="00FC7FA6">
            <w:pPr>
              <w:pStyle w:val="Default"/>
              <w:jc w:val="both"/>
              <w:rPr>
                <w:rFonts w:ascii="Times New Roman" w:hAnsi="Times New Roman" w:cs="Times New Roman"/>
                <w:sz w:val="21"/>
                <w:szCs w:val="21"/>
              </w:rPr>
            </w:pPr>
            <w:r>
              <w:rPr>
                <w:rFonts w:ascii="Times New Roman" w:hAnsi="Times New Roman" w:cs="Times New Roman" w:hint="eastAsia"/>
                <w:sz w:val="21"/>
                <w:szCs w:val="21"/>
              </w:rPr>
              <w:t>施工</w:t>
            </w:r>
            <w:r w:rsidRPr="00B057C5">
              <w:rPr>
                <w:szCs w:val="21"/>
              </w:rPr>
              <w:t>废水经沉淀处理后回用。生活污水利用租住房既有环卫设施收集处理</w:t>
            </w:r>
            <w:r>
              <w:rPr>
                <w:rFonts w:hint="eastAsia"/>
                <w:szCs w:val="21"/>
              </w:rPr>
              <w:t>处理</w:t>
            </w:r>
            <w:r w:rsidRPr="00B057C5">
              <w:rPr>
                <w:szCs w:val="21"/>
              </w:rPr>
              <w:t>。</w:t>
            </w:r>
          </w:p>
          <w:p w:rsidR="00BB002A" w:rsidRPr="00B057C5" w:rsidRDefault="00BB002A" w:rsidP="00B057C5">
            <w:pPr>
              <w:rPr>
                <w:b/>
                <w:bCs/>
                <w:szCs w:val="21"/>
              </w:rPr>
            </w:pPr>
            <w:r w:rsidRPr="00B057C5">
              <w:rPr>
                <w:b/>
                <w:bCs/>
                <w:szCs w:val="21"/>
              </w:rPr>
              <w:t>噪声：</w:t>
            </w:r>
          </w:p>
          <w:p w:rsidR="00BB002A" w:rsidRPr="00B057C5" w:rsidRDefault="00BB002A" w:rsidP="00B057C5">
            <w:pPr>
              <w:rPr>
                <w:szCs w:val="21"/>
              </w:rPr>
            </w:pPr>
            <w:r w:rsidRPr="00B057C5">
              <w:rPr>
                <w:szCs w:val="21"/>
              </w:rPr>
              <w:t>合理安排施工工序</w:t>
            </w:r>
            <w:r>
              <w:rPr>
                <w:rFonts w:hint="eastAsia"/>
                <w:szCs w:val="21"/>
              </w:rPr>
              <w:t>和</w:t>
            </w:r>
            <w:r w:rsidRPr="00B057C5">
              <w:rPr>
                <w:szCs w:val="21"/>
              </w:rPr>
              <w:t>时间，建设地块四周建设施工围墙</w:t>
            </w:r>
            <w:r>
              <w:rPr>
                <w:rFonts w:hint="eastAsia"/>
                <w:szCs w:val="21"/>
              </w:rPr>
              <w:t>，选用低噪声设备，采集基础减震、建筑隔声降低噪声污染</w:t>
            </w:r>
            <w:r w:rsidRPr="00B057C5">
              <w:rPr>
                <w:szCs w:val="21"/>
              </w:rPr>
              <w:t>。</w:t>
            </w:r>
          </w:p>
          <w:p w:rsidR="00BB002A" w:rsidRPr="00B057C5" w:rsidRDefault="00BB002A" w:rsidP="00B057C5">
            <w:pPr>
              <w:rPr>
                <w:b/>
                <w:bCs/>
                <w:szCs w:val="21"/>
              </w:rPr>
            </w:pPr>
            <w:r w:rsidRPr="00B057C5">
              <w:rPr>
                <w:b/>
                <w:bCs/>
                <w:szCs w:val="21"/>
              </w:rPr>
              <w:t>固体废物：</w:t>
            </w:r>
          </w:p>
          <w:p w:rsidR="00BB002A" w:rsidRPr="00B057C5" w:rsidRDefault="00BB002A" w:rsidP="00B057C5">
            <w:pPr>
              <w:pStyle w:val="Default"/>
              <w:jc w:val="both"/>
              <w:rPr>
                <w:rFonts w:ascii="Times New Roman" w:hAnsi="Times New Roman" w:cs="Times New Roman"/>
                <w:sz w:val="21"/>
                <w:szCs w:val="21"/>
              </w:rPr>
            </w:pPr>
            <w:r w:rsidRPr="00B057C5">
              <w:rPr>
                <w:rFonts w:ascii="Times New Roman" w:hAnsi="Times New Roman" w:cs="Times New Roman"/>
                <w:sz w:val="21"/>
                <w:szCs w:val="21"/>
              </w:rPr>
              <w:t>生活垃圾集中袋装后由环卫部门进行统一收集清运。</w:t>
            </w:r>
            <w:r>
              <w:rPr>
                <w:rFonts w:ascii="Times New Roman" w:hAnsi="Times New Roman" w:cs="Times New Roman" w:hint="eastAsia"/>
                <w:sz w:val="21"/>
                <w:szCs w:val="21"/>
              </w:rPr>
              <w:t>开挖</w:t>
            </w:r>
            <w:r w:rsidRPr="00B057C5">
              <w:rPr>
                <w:rFonts w:ascii="Times New Roman" w:hAnsi="Times New Roman" w:cs="Times New Roman"/>
                <w:sz w:val="21"/>
                <w:szCs w:val="21"/>
              </w:rPr>
              <w:t>土石方</w:t>
            </w:r>
            <w:r>
              <w:rPr>
                <w:rFonts w:ascii="Times New Roman" w:hAnsi="Times New Roman" w:cs="Times New Roman" w:hint="eastAsia"/>
                <w:sz w:val="21"/>
                <w:szCs w:val="21"/>
              </w:rPr>
              <w:t>尽量</w:t>
            </w:r>
            <w:r w:rsidRPr="00B057C5">
              <w:rPr>
                <w:rFonts w:ascii="Times New Roman" w:hAnsi="Times New Roman" w:cs="Times New Roman"/>
                <w:sz w:val="21"/>
                <w:szCs w:val="21"/>
              </w:rPr>
              <w:t>回填，建筑垃圾</w:t>
            </w:r>
            <w:r>
              <w:rPr>
                <w:rFonts w:ascii="Times New Roman" w:hAnsi="Times New Roman" w:cs="Times New Roman" w:hint="eastAsia"/>
                <w:sz w:val="21"/>
                <w:szCs w:val="21"/>
              </w:rPr>
              <w:t>和多余弃土</w:t>
            </w:r>
            <w:r w:rsidRPr="00B057C5">
              <w:rPr>
                <w:rFonts w:ascii="Times New Roman" w:hAnsi="Times New Roman" w:cs="Times New Roman"/>
                <w:sz w:val="21"/>
                <w:szCs w:val="21"/>
              </w:rPr>
              <w:t>运往</w:t>
            </w:r>
            <w:r>
              <w:rPr>
                <w:rFonts w:ascii="Times New Roman" w:hAnsi="Times New Roman" w:cs="Times New Roman" w:hint="eastAsia"/>
                <w:sz w:val="21"/>
                <w:szCs w:val="21"/>
              </w:rPr>
              <w:t>当地政府</w:t>
            </w:r>
            <w:r w:rsidRPr="00B057C5">
              <w:rPr>
                <w:rFonts w:ascii="Times New Roman" w:hAnsi="Times New Roman" w:cs="Times New Roman"/>
                <w:sz w:val="21"/>
                <w:szCs w:val="21"/>
              </w:rPr>
              <w:t>指定场地</w:t>
            </w:r>
            <w:r>
              <w:rPr>
                <w:rFonts w:ascii="Times New Roman" w:hAnsi="Times New Roman" w:cs="Times New Roman" w:hint="eastAsia"/>
                <w:sz w:val="21"/>
                <w:szCs w:val="21"/>
              </w:rPr>
              <w:t>堆放</w:t>
            </w:r>
            <w:r w:rsidRPr="00B057C5">
              <w:rPr>
                <w:rFonts w:ascii="Times New Roman" w:hAnsi="Times New Roman" w:cs="Times New Roman"/>
                <w:sz w:val="21"/>
                <w:szCs w:val="21"/>
              </w:rPr>
              <w:t>。</w:t>
            </w:r>
          </w:p>
          <w:p w:rsidR="00BB002A" w:rsidRDefault="00BB002A" w:rsidP="00493C32">
            <w:pPr>
              <w:adjustRightInd w:val="0"/>
              <w:snapToGrid w:val="0"/>
              <w:outlineLvl w:val="1"/>
              <w:rPr>
                <w:b/>
                <w:szCs w:val="21"/>
              </w:rPr>
            </w:pPr>
            <w:bookmarkStart w:id="1" w:name="_Toc17538"/>
            <w:bookmarkStart w:id="2" w:name="_Toc6794"/>
            <w:bookmarkStart w:id="3" w:name="_Toc17498"/>
            <w:bookmarkStart w:id="4" w:name="_Toc26679"/>
            <w:bookmarkStart w:id="5" w:name="_Toc6219"/>
            <w:bookmarkStart w:id="6" w:name="_Toc32423"/>
            <w:r>
              <w:rPr>
                <w:b/>
                <w:szCs w:val="21"/>
              </w:rPr>
              <w:t>二、运营期环境污染防治措施</w:t>
            </w:r>
            <w:bookmarkEnd w:id="1"/>
            <w:bookmarkEnd w:id="2"/>
            <w:bookmarkEnd w:id="3"/>
            <w:bookmarkEnd w:id="4"/>
            <w:bookmarkEnd w:id="5"/>
            <w:bookmarkEnd w:id="6"/>
          </w:p>
          <w:p w:rsidR="00BB002A" w:rsidRPr="00B057C5" w:rsidRDefault="00BB002A" w:rsidP="00B057C5">
            <w:pPr>
              <w:rPr>
                <w:szCs w:val="21"/>
              </w:rPr>
            </w:pPr>
            <w:r w:rsidRPr="00B057C5">
              <w:rPr>
                <w:b/>
                <w:bCs/>
                <w:szCs w:val="21"/>
              </w:rPr>
              <w:t>废气</w:t>
            </w:r>
            <w:r w:rsidRPr="00B057C5">
              <w:rPr>
                <w:szCs w:val="21"/>
              </w:rPr>
              <w:t>：</w:t>
            </w:r>
          </w:p>
          <w:p w:rsidR="00BB002A" w:rsidRPr="00B057C5" w:rsidRDefault="00BB002A" w:rsidP="00B057C5">
            <w:pPr>
              <w:pStyle w:val="Default"/>
              <w:jc w:val="both"/>
              <w:rPr>
                <w:rFonts w:ascii="Times New Roman" w:hAnsi="Times New Roman" w:cs="Times New Roman"/>
                <w:sz w:val="21"/>
                <w:szCs w:val="21"/>
              </w:rPr>
            </w:pPr>
            <w:r>
              <w:rPr>
                <w:rFonts w:ascii="Times New Roman" w:hAnsi="Times New Roman" w:cs="Times New Roman" w:hint="eastAsia"/>
                <w:sz w:val="21"/>
                <w:szCs w:val="21"/>
              </w:rPr>
              <w:t>优化厂区</w:t>
            </w:r>
            <w:r w:rsidRPr="00BB3773">
              <w:rPr>
                <w:rFonts w:ascii="Times New Roman" w:hAnsi="Times New Roman" w:cs="Times New Roman"/>
                <w:sz w:val="21"/>
                <w:szCs w:val="21"/>
              </w:rPr>
              <w:t>平面布局，</w:t>
            </w:r>
            <w:r>
              <w:rPr>
                <w:rFonts w:ascii="Times New Roman" w:hAnsi="Times New Roman" w:cs="Times New Roman" w:hint="eastAsia"/>
                <w:sz w:val="21"/>
                <w:szCs w:val="21"/>
              </w:rPr>
              <w:t>将产生</w:t>
            </w:r>
            <w:r w:rsidRPr="00BB3773">
              <w:rPr>
                <w:rFonts w:ascii="Times New Roman" w:hAnsi="Times New Roman" w:cs="Times New Roman"/>
                <w:sz w:val="21"/>
                <w:szCs w:val="21"/>
              </w:rPr>
              <w:t>恶臭的污泥处理构筑物布置远离办公生活区</w:t>
            </w:r>
            <w:r>
              <w:rPr>
                <w:rFonts w:ascii="Times New Roman" w:hAnsi="Times New Roman" w:cs="Times New Roman" w:hint="eastAsia"/>
                <w:sz w:val="21"/>
                <w:szCs w:val="21"/>
              </w:rPr>
              <w:t>。</w:t>
            </w:r>
            <w:r w:rsidRPr="00BB3773">
              <w:rPr>
                <w:rFonts w:ascii="Times New Roman" w:hAnsi="Times New Roman" w:cs="Times New Roman"/>
                <w:sz w:val="21"/>
                <w:szCs w:val="21"/>
              </w:rPr>
              <w:t>加强项目区及厂界绿化，厂区四周设置绿化隔离带</w:t>
            </w:r>
            <w:r>
              <w:rPr>
                <w:rFonts w:ascii="Times New Roman" w:hAnsi="Times New Roman" w:cs="Times New Roman" w:hint="eastAsia"/>
                <w:sz w:val="21"/>
                <w:szCs w:val="21"/>
              </w:rPr>
              <w:t>。</w:t>
            </w:r>
            <w:r w:rsidRPr="00B057C5">
              <w:rPr>
                <w:rFonts w:ascii="Times New Roman" w:hAnsi="Times New Roman" w:cs="Times New Roman"/>
                <w:sz w:val="21"/>
                <w:szCs w:val="21"/>
              </w:rPr>
              <w:t>预处理单元（粗格栅及提升泵房、细格栅、旋流沉砂池、调节池、水解酸化池）、</w:t>
            </w:r>
            <w:proofErr w:type="gramStart"/>
            <w:r w:rsidRPr="00B057C5">
              <w:rPr>
                <w:rFonts w:ascii="Times New Roman" w:hAnsi="Times New Roman" w:cs="Times New Roman"/>
                <w:sz w:val="21"/>
                <w:szCs w:val="21"/>
              </w:rPr>
              <w:t>生化区</w:t>
            </w:r>
            <w:proofErr w:type="gramEnd"/>
            <w:r w:rsidRPr="00B057C5">
              <w:rPr>
                <w:rFonts w:ascii="Times New Roman" w:hAnsi="Times New Roman" w:cs="Times New Roman"/>
                <w:sz w:val="21"/>
                <w:szCs w:val="21"/>
              </w:rPr>
              <w:t>单元（厌氧区、缺氧区）及污泥处理单元（污泥浓缩脱水间、储泥池）产生的臭气（硫化氢、氨）经抽风系统至生物除臭装置处理后由</w:t>
            </w:r>
            <w:r w:rsidRPr="00B057C5">
              <w:rPr>
                <w:rFonts w:ascii="Times New Roman" w:hAnsi="Times New Roman" w:cs="Times New Roman"/>
                <w:sz w:val="21"/>
                <w:szCs w:val="21"/>
              </w:rPr>
              <w:t>15m</w:t>
            </w:r>
            <w:r w:rsidRPr="00B057C5">
              <w:rPr>
                <w:rFonts w:ascii="Times New Roman" w:hAnsi="Times New Roman" w:cs="Times New Roman"/>
                <w:sz w:val="21"/>
                <w:szCs w:val="21"/>
              </w:rPr>
              <w:t>排气筒高空排出。</w:t>
            </w:r>
            <w:r w:rsidRPr="00BB3773">
              <w:rPr>
                <w:rFonts w:ascii="Times New Roman" w:hAnsi="Times New Roman" w:cs="Times New Roman"/>
                <w:sz w:val="21"/>
                <w:szCs w:val="21"/>
              </w:rPr>
              <w:t>定期喷洒生物除臭剂，</w:t>
            </w:r>
            <w:r>
              <w:rPr>
                <w:rFonts w:ascii="Times New Roman" w:hAnsi="Times New Roman" w:cs="Times New Roman"/>
                <w:sz w:val="21"/>
                <w:szCs w:val="21"/>
              </w:rPr>
              <w:t>污泥及时脱水并清运</w:t>
            </w:r>
            <w:r w:rsidRPr="00B057C5">
              <w:rPr>
                <w:rFonts w:ascii="Times New Roman" w:hAnsi="Times New Roman" w:cs="Times New Roman"/>
                <w:sz w:val="21"/>
                <w:szCs w:val="21"/>
              </w:rPr>
              <w:t>。</w:t>
            </w:r>
            <w:r w:rsidRPr="00B057C5">
              <w:rPr>
                <w:szCs w:val="21"/>
              </w:rPr>
              <w:t>食堂油烟采用油烟净化装置净化，再经专用油烟管道</w:t>
            </w:r>
            <w:r>
              <w:rPr>
                <w:rFonts w:hint="eastAsia"/>
                <w:szCs w:val="21"/>
              </w:rPr>
              <w:t>送至</w:t>
            </w:r>
            <w:r w:rsidRPr="00B057C5">
              <w:rPr>
                <w:szCs w:val="21"/>
              </w:rPr>
              <w:t>楼顶2m的排气筒排放</w:t>
            </w:r>
            <w:r>
              <w:rPr>
                <w:rFonts w:hint="eastAsia"/>
                <w:szCs w:val="21"/>
              </w:rPr>
              <w:t>。</w:t>
            </w:r>
          </w:p>
          <w:p w:rsidR="00BB002A" w:rsidRPr="00B057C5" w:rsidRDefault="00BB002A" w:rsidP="00B057C5">
            <w:pPr>
              <w:rPr>
                <w:b/>
                <w:bCs/>
                <w:szCs w:val="21"/>
              </w:rPr>
            </w:pPr>
            <w:r w:rsidRPr="00B057C5">
              <w:rPr>
                <w:b/>
                <w:bCs/>
                <w:szCs w:val="21"/>
              </w:rPr>
              <w:t>废水：</w:t>
            </w:r>
          </w:p>
          <w:p w:rsidR="00BB002A" w:rsidRPr="00B057C5" w:rsidRDefault="00BB002A" w:rsidP="00B057C5">
            <w:pPr>
              <w:rPr>
                <w:szCs w:val="21"/>
              </w:rPr>
            </w:pPr>
            <w:r>
              <w:rPr>
                <w:rFonts w:hint="eastAsia"/>
                <w:szCs w:val="21"/>
              </w:rPr>
              <w:t>进厂废水采用“</w:t>
            </w:r>
            <w:r w:rsidRPr="00E031F9">
              <w:t>预处理</w:t>
            </w:r>
            <w:r w:rsidRPr="00E031F9">
              <w:t>+</w:t>
            </w:r>
            <w:r w:rsidRPr="00E031F9">
              <w:t>二级生物处理</w:t>
            </w:r>
            <w:r w:rsidRPr="00E031F9">
              <w:t>+</w:t>
            </w:r>
            <w:r w:rsidRPr="00E031F9">
              <w:rPr>
                <w:rFonts w:hint="eastAsia"/>
              </w:rPr>
              <w:t>三级</w:t>
            </w:r>
            <w:r w:rsidRPr="00E031F9">
              <w:t>处理工艺</w:t>
            </w:r>
            <w:r>
              <w:rPr>
                <w:rFonts w:hint="eastAsia"/>
                <w:szCs w:val="21"/>
              </w:rPr>
              <w:t>”处理后达到</w:t>
            </w:r>
            <w:r w:rsidRPr="00E031F9">
              <w:rPr>
                <w:bCs/>
              </w:rPr>
              <w:t>《城镇污水处理厂污染物排放标准》（</w:t>
            </w:r>
            <w:r w:rsidRPr="00E031F9">
              <w:rPr>
                <w:bCs/>
              </w:rPr>
              <w:t>GB18918-2002</w:t>
            </w:r>
            <w:r w:rsidRPr="00E031F9">
              <w:rPr>
                <w:bCs/>
              </w:rPr>
              <w:t>）一级</w:t>
            </w:r>
            <w:r w:rsidRPr="00E031F9">
              <w:rPr>
                <w:bCs/>
              </w:rPr>
              <w:t>A</w:t>
            </w:r>
            <w:r w:rsidRPr="00E031F9">
              <w:rPr>
                <w:bCs/>
              </w:rPr>
              <w:t>标</w:t>
            </w:r>
            <w:r>
              <w:rPr>
                <w:rFonts w:hint="eastAsia"/>
                <w:bCs/>
              </w:rPr>
              <w:t>排放。</w:t>
            </w:r>
            <w:proofErr w:type="gramStart"/>
            <w:r w:rsidRPr="00B057C5">
              <w:rPr>
                <w:szCs w:val="21"/>
              </w:rPr>
              <w:t>深床反硝化</w:t>
            </w:r>
            <w:proofErr w:type="gramEnd"/>
            <w:r w:rsidRPr="00B057C5">
              <w:rPr>
                <w:szCs w:val="21"/>
              </w:rPr>
              <w:t>滤池反冲洗废水、污泥脱水机冲洗废水、污泥处理区的储泥池上清液、污泥</w:t>
            </w:r>
            <w:proofErr w:type="gramStart"/>
            <w:r w:rsidRPr="00B057C5">
              <w:rPr>
                <w:szCs w:val="21"/>
              </w:rPr>
              <w:t>脱水间</w:t>
            </w:r>
            <w:proofErr w:type="gramEnd"/>
            <w:r w:rsidRPr="00B057C5">
              <w:rPr>
                <w:szCs w:val="21"/>
              </w:rPr>
              <w:t>滤液、含有活性菌种的废弃滤液、清洗废水经管道收集进入项目废水池，再</w:t>
            </w:r>
            <w:proofErr w:type="gramStart"/>
            <w:r w:rsidRPr="00B057C5">
              <w:rPr>
                <w:szCs w:val="21"/>
              </w:rPr>
              <w:t>回流至粗格栅</w:t>
            </w:r>
            <w:proofErr w:type="gramEnd"/>
            <w:r w:rsidRPr="00B057C5">
              <w:rPr>
                <w:szCs w:val="21"/>
              </w:rPr>
              <w:t>与进厂废水一并处理。</w:t>
            </w:r>
          </w:p>
          <w:p w:rsidR="00BB002A" w:rsidRPr="00B057C5" w:rsidRDefault="00BB002A" w:rsidP="00B057C5">
            <w:pPr>
              <w:rPr>
                <w:szCs w:val="21"/>
              </w:rPr>
            </w:pPr>
            <w:r w:rsidRPr="00B057C5">
              <w:rPr>
                <w:szCs w:val="21"/>
              </w:rPr>
              <w:t>食堂废水先经隔油后，再与其他污水由管道收集排入粗格栅与提升泵房与进厂污水一并处理。</w:t>
            </w:r>
          </w:p>
          <w:p w:rsidR="00BB002A" w:rsidRPr="00B057C5" w:rsidRDefault="00BB002A" w:rsidP="00B057C5">
            <w:pPr>
              <w:rPr>
                <w:b/>
                <w:bCs/>
                <w:szCs w:val="21"/>
              </w:rPr>
            </w:pPr>
            <w:r w:rsidRPr="00B057C5">
              <w:rPr>
                <w:b/>
                <w:bCs/>
                <w:szCs w:val="21"/>
              </w:rPr>
              <w:t>噪声：</w:t>
            </w:r>
          </w:p>
          <w:p w:rsidR="00BB002A" w:rsidRPr="00B057C5" w:rsidRDefault="00BB002A" w:rsidP="00B057C5">
            <w:pPr>
              <w:rPr>
                <w:szCs w:val="21"/>
              </w:rPr>
            </w:pPr>
            <w:r w:rsidRPr="00B057C5">
              <w:rPr>
                <w:szCs w:val="21"/>
              </w:rPr>
              <w:t>项目</w:t>
            </w:r>
            <w:r>
              <w:rPr>
                <w:rFonts w:hint="eastAsia"/>
                <w:szCs w:val="21"/>
              </w:rPr>
              <w:t>应选用低噪声设备</w:t>
            </w:r>
            <w:r w:rsidRPr="00B057C5">
              <w:rPr>
                <w:szCs w:val="21"/>
              </w:rPr>
              <w:t>，采取相应的隔声、减振、消声等降噪措施后，</w:t>
            </w:r>
            <w:r>
              <w:rPr>
                <w:rFonts w:hint="eastAsia"/>
                <w:szCs w:val="21"/>
              </w:rPr>
              <w:t>满足厂界噪声控制标准</w:t>
            </w:r>
            <w:r w:rsidRPr="00B057C5">
              <w:rPr>
                <w:szCs w:val="21"/>
              </w:rPr>
              <w:t>。</w:t>
            </w:r>
          </w:p>
          <w:p w:rsidR="00BB002A" w:rsidRPr="00B057C5" w:rsidRDefault="00BB002A" w:rsidP="00B057C5">
            <w:pPr>
              <w:rPr>
                <w:szCs w:val="21"/>
              </w:rPr>
            </w:pPr>
            <w:r w:rsidRPr="00B057C5">
              <w:rPr>
                <w:b/>
                <w:bCs/>
                <w:szCs w:val="21"/>
              </w:rPr>
              <w:t>固体废物：</w:t>
            </w:r>
          </w:p>
          <w:p w:rsidR="00BB002A" w:rsidRPr="00B057C5" w:rsidRDefault="00BB002A" w:rsidP="00B057C5">
            <w:pPr>
              <w:rPr>
                <w:szCs w:val="21"/>
              </w:rPr>
            </w:pPr>
            <w:r w:rsidRPr="00B057C5">
              <w:rPr>
                <w:szCs w:val="21"/>
              </w:rPr>
              <w:lastRenderedPageBreak/>
              <w:t>格</w:t>
            </w:r>
            <w:proofErr w:type="gramStart"/>
            <w:r w:rsidRPr="00B057C5">
              <w:rPr>
                <w:szCs w:val="21"/>
              </w:rPr>
              <w:t>栅栅</w:t>
            </w:r>
            <w:proofErr w:type="gramEnd"/>
            <w:r w:rsidRPr="00B057C5">
              <w:rPr>
                <w:szCs w:val="21"/>
              </w:rPr>
              <w:t>渣、曝气沉砂池砂粒经脱水后送至当地生活垃圾填埋厂处理</w:t>
            </w:r>
            <w:r>
              <w:rPr>
                <w:rFonts w:hint="eastAsia"/>
                <w:szCs w:val="21"/>
              </w:rPr>
              <w:t>；</w:t>
            </w:r>
            <w:r w:rsidRPr="00B057C5">
              <w:rPr>
                <w:szCs w:val="21"/>
              </w:rPr>
              <w:t>生物除臭站定期更换填料由厂家回收处置。项目污泥经鉴别后，一般固废交由北京国电龙源环保工程有限公司、国电达州发电有限公司和达州佳境环保再生资源有限公司处置，若</w:t>
            </w:r>
            <w:proofErr w:type="gramStart"/>
            <w:r w:rsidRPr="00B057C5">
              <w:rPr>
                <w:szCs w:val="21"/>
              </w:rPr>
              <w:t>属危废</w:t>
            </w:r>
            <w:proofErr w:type="gramEnd"/>
            <w:r w:rsidRPr="00B057C5">
              <w:rPr>
                <w:szCs w:val="21"/>
              </w:rPr>
              <w:t>则交由有资质的单位处置。废包装材料外售综合利用。厨房产生的餐厨垃圾及废油脂单独收集，交有相应资质的单位进行统一清运处理。生活垃圾由市政统一清运。化验室及在线监测产生的废液、机修车间产生的含矿物油废物属于危险废物，</w:t>
            </w:r>
            <w:r>
              <w:rPr>
                <w:rFonts w:hint="eastAsia"/>
                <w:szCs w:val="21"/>
              </w:rPr>
              <w:t>应</w:t>
            </w:r>
            <w:r w:rsidRPr="00B057C5">
              <w:rPr>
                <w:szCs w:val="21"/>
              </w:rPr>
              <w:t>分类收集暂存</w:t>
            </w:r>
            <w:proofErr w:type="gramStart"/>
            <w:r>
              <w:rPr>
                <w:rFonts w:hint="eastAsia"/>
                <w:szCs w:val="21"/>
              </w:rPr>
              <w:t>至危废暂存</w:t>
            </w:r>
            <w:proofErr w:type="gramEnd"/>
            <w:r>
              <w:rPr>
                <w:rFonts w:hint="eastAsia"/>
                <w:szCs w:val="21"/>
              </w:rPr>
              <w:t>间</w:t>
            </w:r>
            <w:r w:rsidRPr="00B057C5">
              <w:rPr>
                <w:szCs w:val="21"/>
              </w:rPr>
              <w:t>，定期交有资质的单位处理。</w:t>
            </w:r>
          </w:p>
          <w:p w:rsidR="00BB002A" w:rsidRPr="00B057C5" w:rsidRDefault="00BB002A" w:rsidP="00B057C5">
            <w:pPr>
              <w:pStyle w:val="Default"/>
              <w:jc w:val="both"/>
              <w:rPr>
                <w:rFonts w:ascii="Times New Roman" w:hAnsi="Times New Roman" w:cs="Times New Roman"/>
                <w:b/>
                <w:bCs/>
                <w:sz w:val="21"/>
                <w:szCs w:val="21"/>
              </w:rPr>
            </w:pPr>
            <w:r w:rsidRPr="00B057C5">
              <w:rPr>
                <w:rFonts w:ascii="Times New Roman" w:hAnsi="Times New Roman" w:cs="Times New Roman"/>
                <w:b/>
                <w:bCs/>
                <w:sz w:val="21"/>
                <w:szCs w:val="21"/>
              </w:rPr>
              <w:t>地下水：</w:t>
            </w:r>
          </w:p>
          <w:p w:rsidR="00BB002A" w:rsidRPr="00493C32" w:rsidRDefault="00BB002A" w:rsidP="00493C32">
            <w:pPr>
              <w:pStyle w:val="Default"/>
              <w:jc w:val="both"/>
              <w:rPr>
                <w:rFonts w:ascii="Times New Roman" w:hAnsi="Times New Roman" w:cs="Times New Roman" w:hint="eastAsia"/>
                <w:color w:val="auto"/>
                <w:kern w:val="2"/>
                <w:sz w:val="21"/>
                <w:szCs w:val="21"/>
              </w:rPr>
            </w:pPr>
            <w:r w:rsidRPr="00B057C5">
              <w:rPr>
                <w:rFonts w:ascii="Times New Roman" w:hAnsi="Times New Roman" w:cs="Times New Roman"/>
                <w:sz w:val="21"/>
                <w:szCs w:val="21"/>
              </w:rPr>
              <w:t>项</w:t>
            </w:r>
            <w:r w:rsidRPr="00493C32">
              <w:rPr>
                <w:rFonts w:ascii="Times New Roman" w:hAnsi="Times New Roman" w:cs="Times New Roman"/>
                <w:color w:val="auto"/>
                <w:kern w:val="2"/>
                <w:sz w:val="21"/>
                <w:szCs w:val="21"/>
              </w:rPr>
              <w:t>目</w:t>
            </w:r>
            <w:r w:rsidRPr="00493C32">
              <w:rPr>
                <w:rFonts w:ascii="Times New Roman" w:hAnsi="Times New Roman" w:cs="Times New Roman" w:hint="eastAsia"/>
                <w:color w:val="auto"/>
                <w:kern w:val="2"/>
                <w:sz w:val="21"/>
                <w:szCs w:val="21"/>
              </w:rPr>
              <w:t>按</w:t>
            </w:r>
            <w:r w:rsidRPr="00493C32">
              <w:rPr>
                <w:rFonts w:ascii="Times New Roman" w:hAnsi="Times New Roman" w:cs="Times New Roman"/>
                <w:color w:val="auto"/>
                <w:kern w:val="2"/>
                <w:sz w:val="21"/>
                <w:szCs w:val="21"/>
              </w:rPr>
              <w:t>防渗</w:t>
            </w:r>
            <w:r w:rsidRPr="00493C32">
              <w:rPr>
                <w:rFonts w:ascii="Times New Roman" w:hAnsi="Times New Roman" w:cs="Times New Roman" w:hint="eastAsia"/>
                <w:color w:val="auto"/>
                <w:kern w:val="2"/>
                <w:sz w:val="21"/>
                <w:szCs w:val="21"/>
              </w:rPr>
              <w:t>要求</w:t>
            </w:r>
            <w:r w:rsidRPr="00493C32">
              <w:rPr>
                <w:rFonts w:ascii="Times New Roman" w:hAnsi="Times New Roman" w:cs="Times New Roman"/>
                <w:color w:val="auto"/>
                <w:kern w:val="2"/>
                <w:sz w:val="21"/>
                <w:szCs w:val="21"/>
              </w:rPr>
              <w:t>，</w:t>
            </w:r>
            <w:proofErr w:type="gramStart"/>
            <w:r w:rsidRPr="00493C32">
              <w:rPr>
                <w:rFonts w:ascii="Times New Roman" w:hAnsi="Times New Roman" w:cs="Times New Roman" w:hint="eastAsia"/>
                <w:color w:val="auto"/>
                <w:kern w:val="2"/>
                <w:sz w:val="21"/>
                <w:szCs w:val="21"/>
              </w:rPr>
              <w:t>对</w:t>
            </w:r>
            <w:r w:rsidRPr="00493C32">
              <w:rPr>
                <w:rFonts w:ascii="Times New Roman" w:hAnsi="Times New Roman" w:cs="Times New Roman"/>
                <w:color w:val="auto"/>
                <w:kern w:val="2"/>
                <w:sz w:val="21"/>
                <w:szCs w:val="21"/>
              </w:rPr>
              <w:t>粗格栅</w:t>
            </w:r>
            <w:proofErr w:type="gramEnd"/>
            <w:r w:rsidRPr="00493C32">
              <w:rPr>
                <w:rFonts w:ascii="Times New Roman" w:hAnsi="Times New Roman" w:cs="Times New Roman"/>
                <w:color w:val="auto"/>
                <w:kern w:val="2"/>
                <w:sz w:val="21"/>
                <w:szCs w:val="21"/>
              </w:rPr>
              <w:t>及提升泵房、细格栅、旋流沉砂池、调节池及事故池、水解酸化池、污泥浓缩脱水间、</w:t>
            </w:r>
            <w:proofErr w:type="gramStart"/>
            <w:r w:rsidRPr="00493C32">
              <w:rPr>
                <w:rFonts w:ascii="Times New Roman" w:hAnsi="Times New Roman" w:cs="Times New Roman"/>
                <w:color w:val="auto"/>
                <w:kern w:val="2"/>
                <w:sz w:val="21"/>
                <w:szCs w:val="21"/>
              </w:rPr>
              <w:t>危废暂存</w:t>
            </w:r>
            <w:proofErr w:type="gramEnd"/>
            <w:r w:rsidRPr="00493C32">
              <w:rPr>
                <w:rFonts w:ascii="Times New Roman" w:hAnsi="Times New Roman" w:cs="Times New Roman"/>
                <w:color w:val="auto"/>
                <w:kern w:val="2"/>
                <w:sz w:val="21"/>
                <w:szCs w:val="21"/>
              </w:rPr>
              <w:t>间</w:t>
            </w:r>
            <w:r w:rsidRPr="00493C32">
              <w:rPr>
                <w:rFonts w:ascii="Times New Roman" w:hAnsi="Times New Roman" w:cs="Times New Roman" w:hint="eastAsia"/>
                <w:color w:val="auto"/>
                <w:kern w:val="2"/>
                <w:sz w:val="21"/>
                <w:szCs w:val="21"/>
              </w:rPr>
              <w:t>等</w:t>
            </w:r>
            <w:r w:rsidRPr="00493C32">
              <w:rPr>
                <w:rFonts w:ascii="Times New Roman" w:hAnsi="Times New Roman" w:cs="Times New Roman"/>
                <w:color w:val="auto"/>
                <w:kern w:val="2"/>
                <w:sz w:val="21"/>
                <w:szCs w:val="21"/>
              </w:rPr>
              <w:t>重点防渗区</w:t>
            </w:r>
            <w:r w:rsidRPr="00493C32">
              <w:rPr>
                <w:rFonts w:ascii="Times New Roman" w:hAnsi="Times New Roman" w:cs="Times New Roman" w:hint="eastAsia"/>
                <w:color w:val="auto"/>
                <w:kern w:val="2"/>
                <w:sz w:val="21"/>
                <w:szCs w:val="21"/>
              </w:rPr>
              <w:t>采取相应防渗措施，防止污染地下水。</w:t>
            </w:r>
          </w:p>
          <w:p w:rsidR="00BB002A" w:rsidRDefault="00BB002A" w:rsidP="00493C32">
            <w:pPr>
              <w:pStyle w:val="Default"/>
              <w:ind w:firstLineChars="200" w:firstLine="420"/>
              <w:jc w:val="both"/>
              <w:rPr>
                <w:rFonts w:ascii="Times New Roman" w:hAnsi="Times New Roman" w:cs="Times New Roman" w:hint="eastAsia"/>
                <w:color w:val="auto"/>
                <w:kern w:val="2"/>
                <w:sz w:val="21"/>
                <w:szCs w:val="21"/>
              </w:rPr>
            </w:pPr>
            <w:r w:rsidRPr="00493C32">
              <w:rPr>
                <w:rFonts w:ascii="Times New Roman" w:hAnsi="Times New Roman" w:cs="Times New Roman" w:hint="eastAsia"/>
                <w:color w:val="auto"/>
                <w:kern w:val="2"/>
                <w:sz w:val="21"/>
                <w:szCs w:val="21"/>
              </w:rPr>
              <w:t>项目应</w:t>
            </w:r>
            <w:r w:rsidRPr="00493C32">
              <w:rPr>
                <w:rFonts w:ascii="Times New Roman" w:hAnsi="Times New Roman" w:cs="Times New Roman"/>
                <w:color w:val="auto"/>
                <w:kern w:val="2"/>
                <w:sz w:val="21"/>
                <w:szCs w:val="21"/>
              </w:rPr>
              <w:t>严格落实报告书提出的环境风险防范措施，制定完备的环境风险管理应急预案，定期排查环境隐患，严防环境污染事故发生。</w:t>
            </w:r>
          </w:p>
          <w:p w:rsidR="00BB002A" w:rsidRDefault="00BB002A" w:rsidP="00493C32">
            <w:pPr>
              <w:adjustRightInd w:val="0"/>
              <w:snapToGrid w:val="0"/>
              <w:spacing w:line="300" w:lineRule="exact"/>
              <w:rPr>
                <w:b/>
                <w:bCs/>
                <w:szCs w:val="21"/>
              </w:rPr>
            </w:pPr>
            <w:r>
              <w:rPr>
                <w:b/>
                <w:bCs/>
                <w:szCs w:val="21"/>
              </w:rPr>
              <w:t>三、公众参与情况</w:t>
            </w:r>
            <w:r>
              <w:rPr>
                <w:b/>
                <w:bCs/>
                <w:szCs w:val="21"/>
              </w:rPr>
              <w:t xml:space="preserve">  </w:t>
            </w:r>
          </w:p>
          <w:p w:rsidR="00BB002A" w:rsidRDefault="00BB002A" w:rsidP="00493C32">
            <w:pPr>
              <w:adjustRightInd w:val="0"/>
              <w:snapToGrid w:val="0"/>
              <w:spacing w:line="300" w:lineRule="exact"/>
              <w:ind w:firstLineChars="200" w:firstLine="420"/>
              <w:rPr>
                <w:szCs w:val="21"/>
              </w:rPr>
            </w:pPr>
            <w:r>
              <w:rPr>
                <w:szCs w:val="21"/>
              </w:rPr>
              <w:t>项目进行三次网上公示、两次报纸公示及现场张贴公示，均未收到反对意见。</w:t>
            </w:r>
            <w:r>
              <w:rPr>
                <w:szCs w:val="21"/>
              </w:rPr>
              <w:t xml:space="preserve"> </w:t>
            </w:r>
          </w:p>
          <w:p w:rsidR="00BB002A" w:rsidRDefault="00BB002A" w:rsidP="00493C32">
            <w:pPr>
              <w:numPr>
                <w:ilvl w:val="0"/>
                <w:numId w:val="2"/>
              </w:numPr>
              <w:adjustRightInd w:val="0"/>
              <w:snapToGrid w:val="0"/>
              <w:spacing w:line="300" w:lineRule="exact"/>
              <w:rPr>
                <w:b/>
                <w:bCs/>
                <w:szCs w:val="21"/>
              </w:rPr>
            </w:pPr>
            <w:r>
              <w:rPr>
                <w:b/>
                <w:bCs/>
                <w:szCs w:val="21"/>
              </w:rPr>
              <w:t>其他部门意见</w:t>
            </w:r>
            <w:r>
              <w:rPr>
                <w:b/>
                <w:bCs/>
                <w:szCs w:val="21"/>
              </w:rPr>
              <w:t xml:space="preserve">  </w:t>
            </w:r>
          </w:p>
          <w:p w:rsidR="00BB002A" w:rsidRDefault="00BB002A" w:rsidP="00493C32">
            <w:pPr>
              <w:pStyle w:val="Default"/>
              <w:ind w:firstLineChars="200" w:firstLine="420"/>
              <w:jc w:val="both"/>
              <w:rPr>
                <w:rFonts w:ascii="Times New Roman" w:hAnsi="Times New Roman" w:cs="Times New Roman" w:hint="eastAsia"/>
                <w:color w:val="auto"/>
                <w:kern w:val="2"/>
                <w:sz w:val="21"/>
                <w:szCs w:val="21"/>
              </w:rPr>
            </w:pPr>
            <w:r w:rsidRPr="00493C32">
              <w:rPr>
                <w:rFonts w:ascii="Times New Roman" w:hAnsi="Times New Roman" w:cs="Times New Roman"/>
                <w:color w:val="auto"/>
                <w:kern w:val="2"/>
                <w:sz w:val="21"/>
                <w:szCs w:val="21"/>
              </w:rPr>
              <w:t>达州市发展和改革委员会</w:t>
            </w:r>
            <w:r>
              <w:rPr>
                <w:rFonts w:ascii="Times New Roman" w:hAnsi="Times New Roman" w:cs="Times New Roman" w:hint="eastAsia"/>
                <w:color w:val="auto"/>
                <w:kern w:val="2"/>
                <w:sz w:val="21"/>
                <w:szCs w:val="21"/>
              </w:rPr>
              <w:t>《</w:t>
            </w:r>
            <w:r w:rsidRPr="00493C32">
              <w:rPr>
                <w:rFonts w:ascii="Times New Roman" w:hAnsi="Times New Roman" w:cs="Times New Roman"/>
                <w:color w:val="auto"/>
                <w:kern w:val="2"/>
                <w:sz w:val="21"/>
                <w:szCs w:val="21"/>
              </w:rPr>
              <w:t>关于达州市第二工业园区排水系统麻柳污水处理厂工程可行性研究报告的批复</w:t>
            </w:r>
            <w:r>
              <w:rPr>
                <w:rFonts w:ascii="Times New Roman" w:hAnsi="Times New Roman" w:cs="Times New Roman" w:hint="eastAsia"/>
                <w:color w:val="auto"/>
                <w:kern w:val="2"/>
                <w:sz w:val="21"/>
                <w:szCs w:val="21"/>
              </w:rPr>
              <w:t>》</w:t>
            </w:r>
            <w:r w:rsidRPr="00493C32">
              <w:rPr>
                <w:rFonts w:ascii="Times New Roman" w:hAnsi="Times New Roman" w:cs="Times New Roman"/>
                <w:color w:val="auto"/>
                <w:kern w:val="2"/>
                <w:sz w:val="21"/>
                <w:szCs w:val="21"/>
              </w:rPr>
              <w:t>（达市</w:t>
            </w:r>
            <w:proofErr w:type="gramStart"/>
            <w:r w:rsidRPr="00493C32">
              <w:rPr>
                <w:rFonts w:ascii="Times New Roman" w:hAnsi="Times New Roman" w:cs="Times New Roman"/>
                <w:color w:val="auto"/>
                <w:kern w:val="2"/>
                <w:sz w:val="21"/>
                <w:szCs w:val="21"/>
              </w:rPr>
              <w:t>发改审</w:t>
            </w:r>
            <w:proofErr w:type="gramEnd"/>
            <w:r w:rsidRPr="00493C32">
              <w:rPr>
                <w:rFonts w:ascii="Times New Roman" w:hAnsi="Times New Roman" w:cs="Times New Roman"/>
                <w:color w:val="auto"/>
                <w:kern w:val="2"/>
                <w:sz w:val="21"/>
                <w:szCs w:val="21"/>
              </w:rPr>
              <w:t>〔</w:t>
            </w:r>
            <w:r w:rsidRPr="00493C32">
              <w:rPr>
                <w:rFonts w:ascii="Times New Roman" w:hAnsi="Times New Roman" w:cs="Times New Roman"/>
                <w:color w:val="auto"/>
                <w:kern w:val="2"/>
                <w:sz w:val="21"/>
                <w:szCs w:val="21"/>
              </w:rPr>
              <w:t>2021</w:t>
            </w:r>
            <w:r w:rsidRPr="00493C32">
              <w:rPr>
                <w:rFonts w:ascii="Times New Roman" w:hAnsi="Times New Roman" w:cs="Times New Roman"/>
                <w:color w:val="auto"/>
                <w:kern w:val="2"/>
                <w:sz w:val="21"/>
                <w:szCs w:val="21"/>
              </w:rPr>
              <w:t>〕</w:t>
            </w:r>
            <w:r w:rsidRPr="00493C32">
              <w:rPr>
                <w:rFonts w:ascii="Times New Roman" w:hAnsi="Times New Roman" w:cs="Times New Roman"/>
                <w:color w:val="auto"/>
                <w:kern w:val="2"/>
                <w:sz w:val="21"/>
                <w:szCs w:val="21"/>
              </w:rPr>
              <w:t>118</w:t>
            </w:r>
            <w:r w:rsidRPr="00493C32">
              <w:rPr>
                <w:rFonts w:ascii="Times New Roman" w:hAnsi="Times New Roman" w:cs="Times New Roman"/>
                <w:color w:val="auto"/>
                <w:kern w:val="2"/>
                <w:sz w:val="21"/>
                <w:szCs w:val="21"/>
              </w:rPr>
              <w:t>号）</w:t>
            </w:r>
            <w:r>
              <w:rPr>
                <w:rFonts w:ascii="Times New Roman" w:hAnsi="Times New Roman" w:cs="Times New Roman" w:hint="eastAsia"/>
                <w:color w:val="auto"/>
                <w:kern w:val="2"/>
                <w:sz w:val="21"/>
                <w:szCs w:val="21"/>
              </w:rPr>
              <w:t>；</w:t>
            </w:r>
          </w:p>
          <w:p w:rsidR="00BB002A" w:rsidRPr="00493C32" w:rsidRDefault="00BB002A" w:rsidP="00493C32">
            <w:pPr>
              <w:pStyle w:val="Default"/>
              <w:ind w:firstLineChars="200" w:firstLine="420"/>
              <w:jc w:val="both"/>
              <w:rPr>
                <w:rFonts w:ascii="Times New Roman" w:hAnsi="Times New Roman" w:cs="Times New Roman"/>
                <w:sz w:val="21"/>
                <w:szCs w:val="21"/>
              </w:rPr>
            </w:pPr>
            <w:r>
              <w:rPr>
                <w:rFonts w:ascii="Times New Roman" w:hAnsi="Times New Roman" w:cs="Times New Roman" w:hint="eastAsia"/>
                <w:color w:val="auto"/>
                <w:kern w:val="2"/>
                <w:sz w:val="21"/>
                <w:szCs w:val="21"/>
              </w:rPr>
              <w:t>达州市自然资源和规划局《</w:t>
            </w:r>
            <w:r w:rsidRPr="00493C32">
              <w:rPr>
                <w:rFonts w:ascii="Times New Roman" w:hAnsi="Times New Roman" w:cs="Times New Roman"/>
                <w:color w:val="auto"/>
                <w:kern w:val="2"/>
                <w:sz w:val="21"/>
                <w:szCs w:val="21"/>
              </w:rPr>
              <w:t>建设项目用地预审与选址意见书</w:t>
            </w:r>
            <w:r>
              <w:rPr>
                <w:rFonts w:ascii="Times New Roman" w:hAnsi="Times New Roman" w:cs="Times New Roman" w:hint="eastAsia"/>
                <w:color w:val="auto"/>
                <w:kern w:val="2"/>
                <w:sz w:val="21"/>
                <w:szCs w:val="21"/>
              </w:rPr>
              <w:t>》</w:t>
            </w:r>
            <w:r w:rsidRPr="00493C32">
              <w:rPr>
                <w:rFonts w:ascii="Times New Roman" w:hAnsi="Times New Roman" w:cs="Times New Roman"/>
                <w:color w:val="auto"/>
                <w:kern w:val="2"/>
                <w:sz w:val="21"/>
                <w:szCs w:val="21"/>
              </w:rPr>
              <w:t>（用字第</w:t>
            </w:r>
            <w:r w:rsidRPr="00493C32">
              <w:rPr>
                <w:rFonts w:ascii="Times New Roman" w:hAnsi="Times New Roman" w:cs="Times New Roman"/>
                <w:color w:val="auto"/>
                <w:kern w:val="2"/>
                <w:sz w:val="21"/>
                <w:szCs w:val="21"/>
              </w:rPr>
              <w:t>511700202100029</w:t>
            </w:r>
            <w:r w:rsidRPr="00493C32">
              <w:rPr>
                <w:rFonts w:ascii="Times New Roman" w:hAnsi="Times New Roman" w:cs="Times New Roman"/>
                <w:color w:val="auto"/>
                <w:kern w:val="2"/>
                <w:sz w:val="21"/>
                <w:szCs w:val="21"/>
              </w:rPr>
              <w:t>号）</w:t>
            </w:r>
            <w:r>
              <w:rPr>
                <w:rFonts w:ascii="Times New Roman" w:hAnsi="Times New Roman" w:cs="Times New Roman" w:hint="eastAsia"/>
                <w:color w:val="auto"/>
                <w:kern w:val="2"/>
                <w:sz w:val="21"/>
                <w:szCs w:val="21"/>
              </w:rPr>
              <w:t>。</w:t>
            </w:r>
          </w:p>
        </w:tc>
      </w:tr>
    </w:tbl>
    <w:p w:rsidR="009E39C9" w:rsidRPr="00B057C5" w:rsidRDefault="009E39C9"/>
    <w:sectPr w:rsidR="009E39C9" w:rsidRPr="00B057C5" w:rsidSect="009E09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049" w:rsidRDefault="00F67049" w:rsidP="00D17A21">
      <w:r>
        <w:separator/>
      </w:r>
    </w:p>
  </w:endnote>
  <w:endnote w:type="continuationSeparator" w:id="0">
    <w:p w:rsidR="00F67049" w:rsidRDefault="00F67049" w:rsidP="00D17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049" w:rsidRDefault="00F67049" w:rsidP="00D17A21">
      <w:r>
        <w:separator/>
      </w:r>
    </w:p>
  </w:footnote>
  <w:footnote w:type="continuationSeparator" w:id="0">
    <w:p w:rsidR="00F67049" w:rsidRDefault="00F67049" w:rsidP="00D17A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21046D"/>
    <w:multiLevelType w:val="singleLevel"/>
    <w:tmpl w:val="D221046D"/>
    <w:lvl w:ilvl="0">
      <w:start w:val="1"/>
      <w:numFmt w:val="decimal"/>
      <w:suff w:val="nothing"/>
      <w:lvlText w:val="%1、"/>
      <w:lvlJc w:val="left"/>
    </w:lvl>
  </w:abstractNum>
  <w:abstractNum w:abstractNumId="1">
    <w:nsid w:val="01909E3C"/>
    <w:multiLevelType w:val="singleLevel"/>
    <w:tmpl w:val="01909E3C"/>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0C41319"/>
    <w:rsid w:val="001D523D"/>
    <w:rsid w:val="00372DE8"/>
    <w:rsid w:val="00493C32"/>
    <w:rsid w:val="005540E6"/>
    <w:rsid w:val="009E095E"/>
    <w:rsid w:val="009E39C9"/>
    <w:rsid w:val="00A6715D"/>
    <w:rsid w:val="00A87B03"/>
    <w:rsid w:val="00B057C5"/>
    <w:rsid w:val="00BB002A"/>
    <w:rsid w:val="00BB3773"/>
    <w:rsid w:val="00D17A21"/>
    <w:rsid w:val="00E84882"/>
    <w:rsid w:val="00EF5DA2"/>
    <w:rsid w:val="00F67049"/>
    <w:rsid w:val="00FC7FA6"/>
    <w:rsid w:val="34FD2E10"/>
    <w:rsid w:val="50C41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9E09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9E095E"/>
    <w:pPr>
      <w:widowControl w:val="0"/>
      <w:autoSpaceDE w:val="0"/>
      <w:autoSpaceDN w:val="0"/>
      <w:adjustRightInd w:val="0"/>
    </w:pPr>
    <w:rPr>
      <w:rFonts w:ascii="宋体" w:hAnsi="Calibri" w:cs="宋体"/>
      <w:color w:val="000000"/>
      <w:sz w:val="24"/>
      <w:szCs w:val="24"/>
    </w:rPr>
  </w:style>
  <w:style w:type="paragraph" w:styleId="a3">
    <w:name w:val="footer"/>
    <w:basedOn w:val="a"/>
    <w:qFormat/>
    <w:rsid w:val="009E095E"/>
    <w:pPr>
      <w:tabs>
        <w:tab w:val="center" w:pos="4153"/>
        <w:tab w:val="right" w:pos="8306"/>
      </w:tabs>
      <w:snapToGrid w:val="0"/>
      <w:jc w:val="left"/>
    </w:pPr>
    <w:rPr>
      <w:sz w:val="18"/>
      <w:szCs w:val="18"/>
    </w:rPr>
  </w:style>
  <w:style w:type="paragraph" w:styleId="a4">
    <w:name w:val="header"/>
    <w:basedOn w:val="a"/>
    <w:qFormat/>
    <w:rsid w:val="009E095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ody Text Indent"/>
    <w:basedOn w:val="a"/>
    <w:link w:val="Char"/>
    <w:qFormat/>
    <w:rsid w:val="00BB3773"/>
    <w:pPr>
      <w:spacing w:after="120"/>
      <w:ind w:leftChars="200" w:left="420"/>
    </w:pPr>
    <w:rPr>
      <w:rFonts w:ascii="Wingdings 2" w:eastAsia="等线" w:hAnsi="Wingdings 2" w:cs="Wingdings 2"/>
    </w:rPr>
  </w:style>
  <w:style w:type="character" w:customStyle="1" w:styleId="Char">
    <w:name w:val="正文文本缩进 Char"/>
    <w:basedOn w:val="a0"/>
    <w:link w:val="a5"/>
    <w:rsid w:val="00BB3773"/>
    <w:rPr>
      <w:rFonts w:ascii="Wingdings 2" w:eastAsia="等线" w:hAnsi="Wingdings 2" w:cs="Wingdings 2"/>
      <w:kern w:val="2"/>
      <w:sz w:val="21"/>
      <w:szCs w:val="24"/>
    </w:rPr>
  </w:style>
  <w:style w:type="paragraph" w:styleId="a6">
    <w:name w:val="List Paragraph"/>
    <w:basedOn w:val="a"/>
    <w:uiPriority w:val="99"/>
    <w:rsid w:val="00B057C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木林之风@</dc:creator>
  <cp:lastModifiedBy>徐黎</cp:lastModifiedBy>
  <cp:revision>5</cp:revision>
  <dcterms:created xsi:type="dcterms:W3CDTF">2021-11-29T06:05:00Z</dcterms:created>
  <dcterms:modified xsi:type="dcterms:W3CDTF">2021-12-03T03:04:00Z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