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pPr w:leftFromText="181" w:rightFromText="181" w:vertAnchor="text" w:horzAnchor="page" w:tblpXSpec="center" w:tblpY="1"/>
        <w:tblOverlap w:val="never"/>
        <w:tblW w:w="14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
        <w:gridCol w:w="660"/>
        <w:gridCol w:w="690"/>
        <w:gridCol w:w="750"/>
        <w:gridCol w:w="705"/>
        <w:gridCol w:w="3019"/>
        <w:gridCol w:w="8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331"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b/>
                <w:bCs/>
                <w:color w:val="auto"/>
              </w:rPr>
            </w:pPr>
            <w:bookmarkStart w:id="0" w:name="_GoBack"/>
            <w:bookmarkEnd w:id="0"/>
            <w:r>
              <w:rPr>
                <w:b/>
                <w:bCs/>
                <w:color w:val="auto"/>
              </w:rPr>
              <w:t>序号</w:t>
            </w:r>
          </w:p>
        </w:tc>
        <w:tc>
          <w:tcPr>
            <w:tcW w:w="66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b/>
                <w:bCs/>
                <w:color w:val="auto"/>
              </w:rPr>
            </w:pPr>
            <w:r>
              <w:rPr>
                <w:b/>
                <w:bCs/>
                <w:color w:val="auto"/>
              </w:rPr>
              <w:t>项目名称</w:t>
            </w:r>
          </w:p>
        </w:tc>
        <w:tc>
          <w:tcPr>
            <w:tcW w:w="69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b/>
                <w:bCs/>
                <w:color w:val="auto"/>
              </w:rPr>
            </w:pPr>
            <w:r>
              <w:rPr>
                <w:b/>
                <w:bCs/>
                <w:color w:val="auto"/>
              </w:rPr>
              <w:t>建设地点</w:t>
            </w:r>
          </w:p>
        </w:tc>
        <w:tc>
          <w:tcPr>
            <w:tcW w:w="7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b/>
                <w:bCs/>
                <w:color w:val="auto"/>
              </w:rPr>
            </w:pPr>
            <w:r>
              <w:rPr>
                <w:b/>
                <w:bCs/>
                <w:color w:val="auto"/>
              </w:rPr>
              <w:t>建设单位</w:t>
            </w:r>
          </w:p>
        </w:tc>
        <w:tc>
          <w:tcPr>
            <w:tcW w:w="70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b/>
                <w:bCs/>
                <w:color w:val="auto"/>
              </w:rPr>
            </w:pPr>
            <w:r>
              <w:rPr>
                <w:b/>
                <w:bCs/>
                <w:color w:val="auto"/>
              </w:rPr>
              <w:t>环境影响评价机构</w:t>
            </w:r>
          </w:p>
        </w:tc>
        <w:tc>
          <w:tcPr>
            <w:tcW w:w="301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b/>
                <w:bCs/>
                <w:color w:val="auto"/>
              </w:rPr>
            </w:pPr>
            <w:r>
              <w:rPr>
                <w:b/>
                <w:bCs/>
                <w:color w:val="auto"/>
              </w:rPr>
              <w:t>项目概况</w:t>
            </w:r>
          </w:p>
        </w:tc>
        <w:tc>
          <w:tcPr>
            <w:tcW w:w="845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b/>
                <w:bCs/>
                <w:color w:val="auto"/>
              </w:rPr>
            </w:pPr>
            <w:r>
              <w:rPr>
                <w:b/>
                <w:bCs/>
                <w:color w:val="auto"/>
              </w:rPr>
              <w:t>主要环境影响及预防或者减轻</w:t>
            </w:r>
          </w:p>
          <w:p>
            <w:pPr>
              <w:adjustRightInd w:val="0"/>
              <w:snapToGrid w:val="0"/>
              <w:jc w:val="center"/>
              <w:rPr>
                <w:b/>
                <w:bCs/>
                <w:color w:val="auto"/>
              </w:rPr>
            </w:pPr>
            <w:r>
              <w:rPr>
                <w:b/>
                <w:bCs/>
                <w:color w:val="auto"/>
              </w:rPr>
              <w:t>不良环境影响的对策和措施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 w:type="dxa"/>
            <w:tcBorders>
              <w:top w:val="single" w:color="auto" w:sz="4" w:space="0"/>
              <w:left w:val="single" w:color="auto" w:sz="4" w:space="0"/>
              <w:bottom w:val="single" w:color="auto" w:sz="4" w:space="0"/>
              <w:right w:val="single" w:color="auto" w:sz="4" w:space="0"/>
            </w:tcBorders>
            <w:noWrap/>
            <w:vAlign w:val="center"/>
          </w:tcPr>
          <w:p>
            <w:pPr>
              <w:jc w:val="center"/>
              <w:rPr>
                <w:b/>
                <w:bCs/>
                <w:color w:val="auto"/>
              </w:rPr>
            </w:pPr>
            <w:r>
              <w:rPr>
                <w:color w:val="auto"/>
              </w:rPr>
              <w:t>1</w:t>
            </w:r>
          </w:p>
        </w:tc>
        <w:tc>
          <w:tcPr>
            <w:tcW w:w="660" w:type="dxa"/>
            <w:tcBorders>
              <w:top w:val="single" w:color="auto" w:sz="4" w:space="0"/>
              <w:left w:val="single" w:color="auto" w:sz="4" w:space="0"/>
              <w:bottom w:val="single" w:color="auto" w:sz="4" w:space="0"/>
              <w:right w:val="single" w:color="auto" w:sz="4" w:space="0"/>
            </w:tcBorders>
            <w:noWrap/>
            <w:vAlign w:val="center"/>
          </w:tcPr>
          <w:p>
            <w:pPr>
              <w:jc w:val="center"/>
              <w:rPr>
                <w:b/>
                <w:bCs/>
                <w:color w:val="auto"/>
              </w:rPr>
            </w:pPr>
            <w:r>
              <w:rPr>
                <w:rFonts w:hint="eastAsia"/>
                <w:color w:val="auto"/>
                <w:szCs w:val="21"/>
                <w:shd w:val="clear" w:color="auto" w:fill="FFFFFF"/>
              </w:rPr>
              <w:t>东风坝混凝土拌合站建设项目</w:t>
            </w:r>
          </w:p>
        </w:tc>
        <w:tc>
          <w:tcPr>
            <w:tcW w:w="69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eastAsia="宋体"/>
                <w:b/>
                <w:bCs/>
                <w:color w:val="auto"/>
                <w:lang w:eastAsia="zh-CN"/>
              </w:rPr>
            </w:pPr>
            <w:r>
              <w:rPr>
                <w:rFonts w:hint="eastAsia"/>
                <w:color w:val="auto"/>
                <w:szCs w:val="21"/>
                <w:shd w:val="clear" w:color="auto" w:fill="FFFFFF"/>
              </w:rPr>
              <w:t>四川达州万源市</w:t>
            </w:r>
          </w:p>
        </w:tc>
        <w:tc>
          <w:tcPr>
            <w:tcW w:w="750" w:type="dxa"/>
            <w:tcBorders>
              <w:top w:val="single" w:color="auto" w:sz="4" w:space="0"/>
              <w:left w:val="single" w:color="auto" w:sz="4" w:space="0"/>
              <w:bottom w:val="single" w:color="auto" w:sz="4" w:space="0"/>
              <w:right w:val="single" w:color="auto" w:sz="4" w:space="0"/>
            </w:tcBorders>
            <w:noWrap/>
            <w:vAlign w:val="center"/>
          </w:tcPr>
          <w:p>
            <w:pPr>
              <w:jc w:val="center"/>
              <w:rPr>
                <w:b/>
                <w:bCs/>
                <w:color w:val="auto"/>
              </w:rPr>
            </w:pPr>
            <w:r>
              <w:rPr>
                <w:rFonts w:hint="eastAsia"/>
                <w:color w:val="auto"/>
                <w:kern w:val="0"/>
                <w:szCs w:val="21"/>
              </w:rPr>
              <w:t>万源市鑫圣建材有限公司</w:t>
            </w:r>
          </w:p>
        </w:tc>
        <w:tc>
          <w:tcPr>
            <w:tcW w:w="705" w:type="dxa"/>
            <w:tcBorders>
              <w:top w:val="single" w:color="auto" w:sz="4" w:space="0"/>
              <w:left w:val="single" w:color="auto" w:sz="4" w:space="0"/>
              <w:bottom w:val="single" w:color="auto" w:sz="4" w:space="0"/>
              <w:right w:val="single" w:color="auto" w:sz="4" w:space="0"/>
            </w:tcBorders>
            <w:noWrap/>
            <w:vAlign w:val="center"/>
          </w:tcPr>
          <w:p>
            <w:pPr>
              <w:jc w:val="center"/>
              <w:rPr>
                <w:b/>
                <w:bCs/>
                <w:color w:val="auto"/>
                <w:highlight w:val="none"/>
              </w:rPr>
            </w:pPr>
            <w:r>
              <w:rPr>
                <w:rFonts w:hint="eastAsia"/>
                <w:color w:val="auto"/>
                <w:highlight w:val="none"/>
              </w:rPr>
              <w:t>四川蓉创鼎锋环境科技有限公司</w:t>
            </w:r>
          </w:p>
        </w:tc>
        <w:tc>
          <w:tcPr>
            <w:tcW w:w="3019" w:type="dxa"/>
            <w:tcBorders>
              <w:top w:val="single" w:color="auto" w:sz="4" w:space="0"/>
              <w:left w:val="single" w:color="auto" w:sz="4" w:space="0"/>
              <w:bottom w:val="single" w:color="auto" w:sz="4" w:space="0"/>
              <w:right w:val="single" w:color="auto" w:sz="4" w:space="0"/>
            </w:tcBorders>
            <w:noWrap/>
            <w:vAlign w:val="center"/>
          </w:tcPr>
          <w:p>
            <w:pPr>
              <w:pStyle w:val="21"/>
              <w:spacing w:line="300" w:lineRule="atLeast"/>
              <w:ind w:firstLine="420"/>
              <w:rPr>
                <w:rFonts w:hint="eastAsia" w:ascii="Times New Roman"/>
                <w:color w:val="auto"/>
                <w:kern w:val="0"/>
                <w:sz w:val="21"/>
                <w:szCs w:val="21"/>
                <w:highlight w:val="none"/>
                <w:lang w:eastAsia="zh-CN"/>
              </w:rPr>
            </w:pPr>
            <w:r>
              <w:rPr>
                <w:rFonts w:hint="eastAsia" w:ascii="Times New Roman"/>
                <w:color w:val="auto"/>
                <w:kern w:val="0"/>
                <w:sz w:val="21"/>
                <w:szCs w:val="21"/>
                <w:highlight w:val="none"/>
                <w:lang w:eastAsia="zh-CN"/>
              </w:rPr>
              <w:t>项目租赁万源市印旺实业有限责任公司现有地块，建设年产30万吨沥青混凝土生产线、年产30万吨水稳层混凝土生产线、年产500吨的乳化沥青生产线各一条。主要建设内容包括搅拌主机楼（全封闭）、骨料堆棚、冷配料系统、骨料烘干系统、除尘系统、筛分系统、称量及搅拌系统、粉料供给系统、沥青供给系统及配套公辅设施、环保设施。项目租赁厂区内办公楼办公，不设置员工宿舍及食堂；物料质量检测委托检测单位，不设置检测实验室。</w:t>
            </w:r>
          </w:p>
          <w:p>
            <w:pPr>
              <w:pStyle w:val="21"/>
              <w:spacing w:line="300" w:lineRule="atLeast"/>
              <w:ind w:firstLine="420"/>
              <w:rPr>
                <w:color w:val="0000FF"/>
                <w:szCs w:val="21"/>
                <w:highlight w:val="none"/>
              </w:rPr>
            </w:pPr>
            <w:r>
              <w:rPr>
                <w:rFonts w:ascii="Times New Roman"/>
                <w:color w:val="auto"/>
                <w:kern w:val="0"/>
                <w:sz w:val="21"/>
                <w:szCs w:val="21"/>
                <w:highlight w:val="none"/>
              </w:rPr>
              <w:t>工程总投资</w:t>
            </w:r>
            <w:r>
              <w:rPr>
                <w:rFonts w:hint="eastAsia" w:ascii="Times New Roman"/>
                <w:color w:val="auto"/>
                <w:kern w:val="0"/>
                <w:sz w:val="21"/>
                <w:szCs w:val="21"/>
                <w:highlight w:val="none"/>
                <w:lang w:eastAsia="zh-CN"/>
              </w:rPr>
              <w:t>1</w:t>
            </w:r>
            <w:r>
              <w:rPr>
                <w:rFonts w:hint="eastAsia" w:ascii="Times New Roman"/>
                <w:color w:val="auto"/>
                <w:kern w:val="0"/>
                <w:sz w:val="21"/>
                <w:szCs w:val="21"/>
                <w:highlight w:val="none"/>
                <w:lang w:val="en-US" w:eastAsia="zh-CN"/>
              </w:rPr>
              <w:t>500</w:t>
            </w:r>
            <w:r>
              <w:rPr>
                <w:rFonts w:hint="eastAsia" w:ascii="Times New Roman"/>
                <w:color w:val="auto"/>
                <w:kern w:val="0"/>
                <w:sz w:val="21"/>
                <w:szCs w:val="21"/>
                <w:highlight w:val="none"/>
                <w:lang w:eastAsia="zh-CN"/>
              </w:rPr>
              <w:t>万</w:t>
            </w:r>
            <w:r>
              <w:rPr>
                <w:rFonts w:ascii="Times New Roman"/>
                <w:color w:val="auto"/>
                <w:kern w:val="0"/>
                <w:sz w:val="21"/>
                <w:szCs w:val="21"/>
                <w:highlight w:val="none"/>
              </w:rPr>
              <w:t>元，其中环保投资</w:t>
            </w:r>
            <w:r>
              <w:rPr>
                <w:rFonts w:hint="eastAsia" w:ascii="Times New Roman"/>
                <w:color w:val="auto"/>
                <w:kern w:val="0"/>
                <w:sz w:val="21"/>
                <w:szCs w:val="21"/>
                <w:highlight w:val="none"/>
                <w:lang w:val="en-US" w:eastAsia="zh-CN"/>
              </w:rPr>
              <w:t>65</w:t>
            </w:r>
            <w:r>
              <w:rPr>
                <w:rFonts w:ascii="Times New Roman"/>
                <w:color w:val="auto"/>
                <w:kern w:val="0"/>
                <w:sz w:val="21"/>
                <w:szCs w:val="21"/>
                <w:highlight w:val="none"/>
              </w:rPr>
              <w:t>万元。</w:t>
            </w:r>
          </w:p>
        </w:tc>
        <w:tc>
          <w:tcPr>
            <w:tcW w:w="8459" w:type="dxa"/>
            <w:tcBorders>
              <w:top w:val="single" w:color="auto" w:sz="4" w:space="0"/>
              <w:left w:val="single" w:color="auto" w:sz="4" w:space="0"/>
              <w:bottom w:val="single" w:color="auto" w:sz="4" w:space="0"/>
              <w:right w:val="single" w:color="auto" w:sz="4" w:space="0"/>
            </w:tcBorders>
            <w:noWrap/>
            <w:vAlign w:val="center"/>
          </w:tcPr>
          <w:p>
            <w:pPr>
              <w:pStyle w:val="14"/>
              <w:numPr>
                <w:ilvl w:val="0"/>
                <w:numId w:val="1"/>
              </w:numPr>
              <w:shd w:val="clear" w:color="auto" w:fill="FFFFFF"/>
              <w:spacing w:before="0" w:beforeAutospacing="0" w:after="0" w:afterAutospacing="0" w:line="300" w:lineRule="atLeast"/>
              <w:ind w:firstLine="405"/>
              <w:jc w:val="both"/>
              <w:rPr>
                <w:rFonts w:ascii="Times New Roman" w:cs="Times New Roman"/>
                <w:b/>
                <w:bCs/>
                <w:color w:val="auto"/>
                <w:sz w:val="21"/>
                <w:szCs w:val="21"/>
                <w:highlight w:val="none"/>
              </w:rPr>
            </w:pPr>
            <w:r>
              <w:rPr>
                <w:rFonts w:hint="eastAsia" w:ascii="Times New Roman" w:cs="Times New Roman"/>
                <w:b/>
                <w:bCs/>
                <w:color w:val="auto"/>
                <w:sz w:val="21"/>
                <w:szCs w:val="21"/>
                <w:highlight w:val="none"/>
              </w:rPr>
              <w:t>施工期主要环境保护措施</w:t>
            </w:r>
          </w:p>
          <w:p>
            <w:pPr>
              <w:pStyle w:val="14"/>
              <w:shd w:val="clear" w:color="auto" w:fill="FFFFFF"/>
              <w:spacing w:before="0" w:beforeAutospacing="0" w:after="0" w:afterAutospacing="0" w:line="300" w:lineRule="atLeast"/>
              <w:ind w:firstLine="405"/>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生活污水</w:t>
            </w:r>
            <w:r>
              <w:rPr>
                <w:rFonts w:hint="eastAsia" w:ascii="Times New Roman" w:hAnsi="Times New Roman" w:eastAsia="宋体" w:cs="Times New Roman"/>
                <w:color w:val="auto"/>
                <w:sz w:val="21"/>
                <w:szCs w:val="21"/>
                <w:highlight w:val="none"/>
                <w:lang w:val="en-US" w:eastAsia="zh-CN"/>
              </w:rPr>
              <w:t>依托厂区内</w:t>
            </w:r>
            <w:r>
              <w:rPr>
                <w:rFonts w:hint="eastAsia" w:ascii="Times New Roman" w:hAnsi="Times New Roman" w:eastAsia="宋体" w:cs="Times New Roman"/>
                <w:color w:val="auto"/>
                <w:sz w:val="21"/>
                <w:szCs w:val="21"/>
                <w:highlight w:val="none"/>
              </w:rPr>
              <w:t>已建预处理池处理后</w:t>
            </w:r>
            <w:r>
              <w:rPr>
                <w:rFonts w:hint="eastAsia" w:ascii="Times New Roman" w:hAnsi="Times New Roman" w:eastAsia="宋体" w:cs="Times New Roman"/>
                <w:color w:val="auto"/>
                <w:sz w:val="21"/>
                <w:szCs w:val="21"/>
                <w:highlight w:val="none"/>
                <w:lang w:eastAsia="zh-CN"/>
              </w:rPr>
              <w:t>由</w:t>
            </w:r>
            <w:r>
              <w:rPr>
                <w:rFonts w:hint="eastAsia" w:ascii="Times New Roman" w:hAnsi="Times New Roman" w:eastAsia="宋体" w:cs="Times New Roman"/>
                <w:color w:val="auto"/>
                <w:sz w:val="21"/>
                <w:szCs w:val="21"/>
                <w:highlight w:val="none"/>
                <w:lang w:val="en-US" w:eastAsia="zh-CN"/>
              </w:rPr>
              <w:t>吸污车定期转运至白沙镇污水处理厂处理</w:t>
            </w:r>
            <w:r>
              <w:rPr>
                <w:rFonts w:hint="eastAsia" w:ascii="Times New Roman" w:hAnsi="Times New Roman" w:eastAsia="宋体" w:cs="Times New Roman"/>
                <w:color w:val="auto"/>
                <w:sz w:val="21"/>
                <w:szCs w:val="21"/>
                <w:highlight w:val="none"/>
              </w:rPr>
              <w:t>。泥浆水和道路冲洗水导流沉淀</w:t>
            </w:r>
            <w:r>
              <w:rPr>
                <w:rFonts w:hint="eastAsia" w:ascii="Times New Roman" w:hAnsi="Times New Roman" w:eastAsia="宋体" w:cs="Times New Roman"/>
                <w:color w:val="auto"/>
                <w:sz w:val="21"/>
                <w:szCs w:val="21"/>
                <w:highlight w:val="none"/>
                <w:lang w:eastAsia="zh-CN"/>
              </w:rPr>
              <w:t>后</w:t>
            </w:r>
            <w:r>
              <w:rPr>
                <w:rFonts w:hint="eastAsia" w:ascii="Times New Roman" w:hAnsi="Times New Roman" w:eastAsia="宋体" w:cs="Times New Roman"/>
                <w:color w:val="auto"/>
                <w:sz w:val="21"/>
                <w:szCs w:val="21"/>
                <w:highlight w:val="none"/>
              </w:rPr>
              <w:t>回用于施工，</w:t>
            </w:r>
            <w:r>
              <w:rPr>
                <w:rFonts w:hint="eastAsia" w:ascii="Times New Roman" w:hAnsi="Times New Roman" w:eastAsia="宋体" w:cs="Times New Roman"/>
                <w:color w:val="auto"/>
                <w:sz w:val="21"/>
                <w:szCs w:val="21"/>
                <w:highlight w:val="none"/>
                <w:lang w:eastAsia="zh-CN"/>
              </w:rPr>
              <w:t>沉淀池</w:t>
            </w:r>
            <w:r>
              <w:rPr>
                <w:rFonts w:hint="eastAsia" w:ascii="Times New Roman" w:hAnsi="Times New Roman" w:eastAsia="宋体" w:cs="Times New Roman"/>
                <w:color w:val="auto"/>
                <w:sz w:val="21"/>
                <w:szCs w:val="21"/>
                <w:highlight w:val="none"/>
              </w:rPr>
              <w:t>底部淤泥定期清理用于施工。</w:t>
            </w:r>
          </w:p>
          <w:p>
            <w:pPr>
              <w:pStyle w:val="14"/>
              <w:shd w:val="clear" w:color="auto" w:fill="FFFFFF"/>
              <w:spacing w:before="0" w:beforeAutospacing="0" w:after="0" w:afterAutospacing="0" w:line="300" w:lineRule="atLeast"/>
              <w:ind w:firstLine="405"/>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强化施工期扬尘污染防治，采取设置围挡、洒水降尘等措施。</w:t>
            </w:r>
          </w:p>
          <w:p>
            <w:pPr>
              <w:pStyle w:val="14"/>
              <w:shd w:val="clear" w:color="auto" w:fill="FFFFFF"/>
              <w:spacing w:before="0" w:beforeAutospacing="0" w:after="0" w:afterAutospacing="0" w:line="300" w:lineRule="atLeast"/>
              <w:ind w:firstLine="405"/>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施工期噪声采取加强施工期环境管理，采用低噪声施工机械，优化施工场地布设等措施，控制和减小施工噪声对周围环境影响。</w:t>
            </w:r>
          </w:p>
          <w:p>
            <w:pPr>
              <w:pStyle w:val="14"/>
              <w:shd w:val="clear" w:color="auto" w:fill="FFFFFF"/>
              <w:spacing w:before="0" w:beforeAutospacing="0" w:after="0" w:afterAutospacing="0" w:line="300" w:lineRule="atLeast"/>
              <w:ind w:firstLine="405"/>
              <w:jc w:val="both"/>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弃土及废砖瓦石交由有主体资格和技术能力的单位利用。建筑垃圾收集后分类处置，不可回收的清运至合规建筑垃圾处置场。生活垃圾收集后交由环卫部门清运处理。废弃包装袋收集交由废旧资源回收处回收。</w:t>
            </w:r>
          </w:p>
          <w:p>
            <w:pPr>
              <w:pStyle w:val="14"/>
              <w:numPr>
                <w:ilvl w:val="0"/>
                <w:numId w:val="1"/>
              </w:numPr>
              <w:shd w:val="clear" w:color="auto" w:fill="FFFFFF"/>
              <w:spacing w:before="0" w:beforeAutospacing="0" w:after="0" w:afterAutospacing="0" w:line="300" w:lineRule="atLeast"/>
              <w:ind w:firstLine="405"/>
              <w:jc w:val="both"/>
              <w:rPr>
                <w:rFonts w:ascii="Times New Roman" w:cs="Times New Roman"/>
                <w:b/>
                <w:bCs/>
                <w:color w:val="auto"/>
                <w:sz w:val="21"/>
                <w:szCs w:val="21"/>
                <w:highlight w:val="none"/>
              </w:rPr>
            </w:pPr>
            <w:r>
              <w:rPr>
                <w:rFonts w:hint="eastAsia" w:ascii="Times New Roman" w:cs="Times New Roman"/>
                <w:b/>
                <w:bCs/>
                <w:color w:val="auto"/>
                <w:sz w:val="21"/>
                <w:szCs w:val="21"/>
                <w:highlight w:val="none"/>
              </w:rPr>
              <w:t>营运期主要环境保护措施</w:t>
            </w:r>
          </w:p>
          <w:p>
            <w:pPr>
              <w:pStyle w:val="14"/>
              <w:shd w:val="clear" w:color="auto" w:fill="FFFFFF"/>
              <w:spacing w:before="0" w:beforeAutospacing="0" w:after="0" w:afterAutospacing="0" w:line="300" w:lineRule="atLeast"/>
              <w:ind w:firstLine="405"/>
              <w:jc w:val="both"/>
              <w:rPr>
                <w:rFonts w:ascii="Times New Roman" w:cs="Times New Roman"/>
                <w:color w:val="auto"/>
                <w:sz w:val="21"/>
                <w:szCs w:val="21"/>
                <w:highlight w:val="none"/>
              </w:rPr>
            </w:pPr>
            <w:r>
              <w:rPr>
                <w:rFonts w:hint="eastAsia" w:ascii="Times New Roman" w:cs="Times New Roman"/>
                <w:color w:val="auto"/>
                <w:sz w:val="21"/>
                <w:szCs w:val="21"/>
                <w:highlight w:val="none"/>
              </w:rPr>
              <w:t>（</w:t>
            </w:r>
            <w:r>
              <w:rPr>
                <w:rFonts w:hint="eastAsia" w:ascii="Times New Roman" w:cs="Times New Roman"/>
                <w:color w:val="auto"/>
                <w:sz w:val="21"/>
                <w:szCs w:val="21"/>
                <w:highlight w:val="none"/>
                <w:lang w:val="en-US" w:eastAsia="zh-CN"/>
              </w:rPr>
              <w:t>一</w:t>
            </w:r>
            <w:r>
              <w:rPr>
                <w:rFonts w:hint="eastAsia" w:ascii="Times New Roman" w:cs="Times New Roman"/>
                <w:color w:val="auto"/>
                <w:sz w:val="21"/>
                <w:szCs w:val="21"/>
                <w:highlight w:val="none"/>
              </w:rPr>
              <w:t>）</w:t>
            </w:r>
            <w:r>
              <w:rPr>
                <w:rFonts w:hint="eastAsia" w:ascii="Times New Roman"/>
                <w:color w:val="auto"/>
                <w:sz w:val="21"/>
                <w:szCs w:val="21"/>
                <w:highlight w:val="none"/>
                <w:lang w:eastAsia="zh-CN"/>
              </w:rPr>
              <w:t>大气污染防治措施</w:t>
            </w:r>
          </w:p>
          <w:p>
            <w:pPr>
              <w:pStyle w:val="14"/>
              <w:shd w:val="clear" w:color="auto" w:fill="FFFFFF"/>
              <w:spacing w:before="0" w:beforeAutospacing="0" w:after="0" w:afterAutospacing="0" w:line="300" w:lineRule="atLeast"/>
              <w:ind w:firstLine="405"/>
              <w:jc w:val="both"/>
              <w:rPr>
                <w:rFonts w:hint="eastAsia" w:ascii="Times New Roman" w:hAnsi="Times New Roman" w:eastAsia="宋体" w:cs="Times New Roman"/>
                <w:color w:val="auto"/>
                <w:sz w:val="21"/>
                <w:szCs w:val="21"/>
                <w:highlight w:val="none"/>
                <w:lang w:eastAsia="zh-CN"/>
              </w:rPr>
            </w:pPr>
            <w:r>
              <w:rPr>
                <w:rFonts w:hint="eastAsia" w:ascii="Times New Roman" w:cs="Times New Roman"/>
                <w:color w:val="auto"/>
                <w:sz w:val="21"/>
                <w:szCs w:val="21"/>
                <w:highlight w:val="none"/>
                <w:lang w:eastAsia="zh-CN"/>
              </w:rPr>
              <w:t>场内地面硬化、洒水降尘并对</w:t>
            </w:r>
            <w:r>
              <w:rPr>
                <w:rFonts w:hint="eastAsia" w:ascii="Times New Roman" w:hAnsi="Times New Roman" w:eastAsia="宋体" w:cs="Times New Roman"/>
                <w:color w:val="auto"/>
                <w:sz w:val="21"/>
                <w:szCs w:val="21"/>
                <w:highlight w:val="none"/>
              </w:rPr>
              <w:t>进出车辆</w:t>
            </w:r>
            <w:r>
              <w:rPr>
                <w:rFonts w:hint="eastAsia" w:ascii="Times New Roman" w:hAnsi="Times New Roman" w:eastAsia="宋体" w:cs="Times New Roman"/>
                <w:color w:val="auto"/>
                <w:sz w:val="21"/>
                <w:szCs w:val="21"/>
                <w:highlight w:val="none"/>
                <w:lang w:eastAsia="zh-CN"/>
              </w:rPr>
              <w:t>清</w:t>
            </w:r>
            <w:r>
              <w:rPr>
                <w:rFonts w:hint="eastAsia" w:ascii="Times New Roman" w:hAnsi="Times New Roman" w:eastAsia="宋体" w:cs="Times New Roman"/>
                <w:color w:val="auto"/>
                <w:sz w:val="21"/>
                <w:szCs w:val="21"/>
                <w:highlight w:val="none"/>
              </w:rPr>
              <w:t>洗</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骨料堆</w:t>
            </w:r>
            <w:r>
              <w:rPr>
                <w:rFonts w:hint="eastAsia" w:ascii="Times New Roman" w:cs="Times New Roman"/>
                <w:color w:val="auto"/>
                <w:sz w:val="21"/>
                <w:szCs w:val="21"/>
                <w:highlight w:val="none"/>
                <w:lang w:eastAsia="zh-CN"/>
              </w:rPr>
              <w:t>场</w:t>
            </w:r>
            <w:r>
              <w:rPr>
                <w:rFonts w:hint="eastAsia" w:ascii="Times New Roman" w:hAnsi="Times New Roman" w:eastAsia="宋体" w:cs="Times New Roman"/>
                <w:color w:val="auto"/>
                <w:sz w:val="21"/>
                <w:szCs w:val="21"/>
                <w:highlight w:val="none"/>
              </w:rPr>
              <w:t>厂房密闭</w:t>
            </w:r>
            <w:r>
              <w:rPr>
                <w:rFonts w:hint="eastAsia" w:ascii="Times New Roman" w:cs="Times New Roman"/>
                <w:color w:val="auto"/>
                <w:sz w:val="21"/>
                <w:szCs w:val="21"/>
                <w:highlight w:val="none"/>
                <w:lang w:eastAsia="zh-CN"/>
              </w:rPr>
              <w:t>、地面硬化</w:t>
            </w:r>
            <w:r>
              <w:rPr>
                <w:rFonts w:hint="eastAsia" w:ascii="Times New Roman" w:hAnsi="Times New Roman" w:eastAsia="宋体" w:cs="Times New Roman"/>
                <w:color w:val="auto"/>
                <w:sz w:val="21"/>
                <w:szCs w:val="21"/>
                <w:highlight w:val="none"/>
              </w:rPr>
              <w:t>并</w:t>
            </w:r>
            <w:r>
              <w:rPr>
                <w:rFonts w:hint="eastAsia" w:ascii="Times New Roman" w:hAnsi="Times New Roman" w:eastAsia="宋体" w:cs="Times New Roman"/>
                <w:color w:val="auto"/>
                <w:sz w:val="21"/>
                <w:szCs w:val="21"/>
                <w:highlight w:val="none"/>
                <w:lang w:eastAsia="zh-CN"/>
              </w:rPr>
              <w:t>喷雾降尘</w:t>
            </w:r>
            <w:r>
              <w:rPr>
                <w:rFonts w:hint="eastAsia" w:ascii="Times New Roman" w:cs="Times New Roman"/>
                <w:color w:val="auto"/>
                <w:sz w:val="21"/>
                <w:szCs w:val="21"/>
                <w:highlight w:val="none"/>
                <w:lang w:eastAsia="zh-CN"/>
              </w:rPr>
              <w:t>，骨料采用防尘网覆盖</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沥青混凝土拌合厂房</w:t>
            </w:r>
            <w:r>
              <w:rPr>
                <w:rFonts w:hint="eastAsia" w:ascii="Times New Roman"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搅拌楼、粉料罐、输送带密闭</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骨料烘干筒燃烧器</w:t>
            </w:r>
            <w:r>
              <w:rPr>
                <w:rFonts w:hint="eastAsia" w:ascii="Times New Roman" w:cs="Times New Roman"/>
                <w:color w:val="auto"/>
                <w:sz w:val="21"/>
                <w:szCs w:val="21"/>
                <w:highlight w:val="none"/>
                <w:lang w:eastAsia="zh-CN"/>
              </w:rPr>
              <w:t>及</w:t>
            </w:r>
            <w:r>
              <w:rPr>
                <w:rFonts w:hint="eastAsia" w:ascii="Times New Roman" w:hAnsi="Times New Roman" w:eastAsia="宋体" w:cs="Times New Roman"/>
                <w:color w:val="auto"/>
                <w:sz w:val="21"/>
                <w:szCs w:val="21"/>
                <w:highlight w:val="none"/>
                <w:lang w:eastAsia="zh-CN"/>
              </w:rPr>
              <w:t>导热油炉采用</w:t>
            </w:r>
            <w:r>
              <w:rPr>
                <w:rFonts w:hint="eastAsia" w:ascii="Times New Roman" w:hAnsi="Times New Roman" w:eastAsia="宋体" w:cs="Times New Roman"/>
                <w:color w:val="auto"/>
                <w:sz w:val="21"/>
                <w:szCs w:val="21"/>
                <w:highlight w:val="none"/>
              </w:rPr>
              <w:t>低氮燃烧</w:t>
            </w:r>
            <w:r>
              <w:rPr>
                <w:rFonts w:hint="eastAsia" w:ascii="Times New Roman"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确保燃烧废气经15m排气筒达标排放</w:t>
            </w:r>
            <w:r>
              <w:rPr>
                <w:rFonts w:hint="eastAsia" w:ascii="Times New Roman"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沥青骨料</w:t>
            </w:r>
            <w:r>
              <w:rPr>
                <w:rFonts w:hint="eastAsia" w:ascii="Times New Roman" w:hAnsi="Times New Roman" w:eastAsia="宋体" w:cs="Times New Roman"/>
                <w:b w:val="0"/>
                <w:color w:val="auto"/>
                <w:sz w:val="21"/>
                <w:szCs w:val="21"/>
                <w:lang w:val="en-US" w:eastAsia="zh-CN"/>
              </w:rPr>
              <w:t>下料口设置围挡并负压抽风，</w:t>
            </w:r>
            <w:r>
              <w:rPr>
                <w:rFonts w:hint="eastAsia" w:ascii="Times New Roman" w:cs="Times New Roman"/>
                <w:color w:val="auto"/>
                <w:sz w:val="21"/>
                <w:szCs w:val="21"/>
                <w:highlight w:val="none"/>
                <w:lang w:eastAsia="zh-CN"/>
              </w:rPr>
              <w:t>投</w:t>
            </w:r>
            <w:r>
              <w:rPr>
                <w:rFonts w:hint="eastAsia" w:ascii="Times New Roman" w:hAnsi="Times New Roman" w:eastAsia="宋体" w:cs="Times New Roman"/>
                <w:color w:val="auto"/>
                <w:sz w:val="21"/>
                <w:szCs w:val="21"/>
                <w:highlight w:val="none"/>
              </w:rPr>
              <w:t>料</w:t>
            </w:r>
            <w:r>
              <w:rPr>
                <w:rFonts w:hint="eastAsia" w:ascii="Times New Roman"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输送</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烘干</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提升</w:t>
            </w:r>
            <w:r>
              <w:rPr>
                <w:rFonts w:hint="eastAsia" w:ascii="Times New Roman" w:cs="Times New Roman"/>
                <w:color w:val="auto"/>
                <w:sz w:val="21"/>
                <w:szCs w:val="21"/>
                <w:highlight w:val="none"/>
                <w:lang w:eastAsia="zh-CN"/>
              </w:rPr>
              <w:t>及</w:t>
            </w:r>
            <w:r>
              <w:rPr>
                <w:rFonts w:hint="eastAsia" w:ascii="Times New Roman" w:hAnsi="Times New Roman" w:eastAsia="宋体" w:cs="Times New Roman"/>
                <w:color w:val="auto"/>
                <w:sz w:val="21"/>
                <w:szCs w:val="21"/>
                <w:highlight w:val="none"/>
              </w:rPr>
              <w:t>筛分粉尘</w:t>
            </w:r>
            <w:r>
              <w:rPr>
                <w:rFonts w:hint="eastAsia" w:ascii="Times New Roman" w:cs="Times New Roman"/>
                <w:color w:val="auto"/>
                <w:sz w:val="21"/>
                <w:szCs w:val="21"/>
                <w:highlight w:val="none"/>
                <w:lang w:eastAsia="zh-CN"/>
              </w:rPr>
              <w:t>与烘干</w:t>
            </w:r>
            <w:r>
              <w:rPr>
                <w:rFonts w:hint="eastAsia" w:ascii="Times New Roman" w:hAnsi="Times New Roman" w:eastAsia="宋体" w:cs="Times New Roman"/>
                <w:color w:val="auto"/>
                <w:sz w:val="21"/>
                <w:szCs w:val="21"/>
                <w:highlight w:val="none"/>
              </w:rPr>
              <w:t>燃烧烟气</w:t>
            </w:r>
            <w:r>
              <w:rPr>
                <w:rFonts w:hint="eastAsia" w:ascii="Times New Roman" w:cs="Times New Roman"/>
                <w:color w:val="auto"/>
                <w:sz w:val="21"/>
                <w:szCs w:val="21"/>
                <w:highlight w:val="none"/>
                <w:lang w:eastAsia="zh-CN"/>
              </w:rPr>
              <w:t>密闭收集，采用</w:t>
            </w:r>
            <w:r>
              <w:rPr>
                <w:rFonts w:hint="eastAsia" w:ascii="Times New Roman" w:hAnsi="Times New Roman" w:eastAsia="宋体" w:cs="Times New Roman"/>
                <w:color w:val="auto"/>
                <w:sz w:val="21"/>
                <w:szCs w:val="21"/>
                <w:highlight w:val="none"/>
              </w:rPr>
              <w:t>旋风除尘+布袋除尘</w:t>
            </w:r>
            <w:r>
              <w:rPr>
                <w:rFonts w:hint="eastAsia" w:ascii="Times New Roman" w:hAnsi="Times New Roman" w:eastAsia="宋体" w:cs="Times New Roman"/>
                <w:color w:val="auto"/>
                <w:sz w:val="21"/>
                <w:szCs w:val="21"/>
                <w:highlight w:val="none"/>
                <w:lang w:eastAsia="zh-CN"/>
              </w:rPr>
              <w:t>处理后</w:t>
            </w:r>
            <w:r>
              <w:rPr>
                <w:rFonts w:hint="eastAsia" w:ascii="Times New Roman" w:hAnsi="Times New Roman" w:eastAsia="宋体" w:cs="Times New Roman"/>
                <w:color w:val="auto"/>
                <w:sz w:val="21"/>
                <w:szCs w:val="21"/>
                <w:highlight w:val="none"/>
              </w:rPr>
              <w:t>由15</w:t>
            </w:r>
            <w:r>
              <w:rPr>
                <w:rFonts w:hint="eastAsia" w:ascii="Times New Roman" w:hAnsi="Times New Roman" w:eastAsia="宋体" w:cs="Times New Roman"/>
                <w:color w:val="auto"/>
                <w:sz w:val="21"/>
                <w:szCs w:val="21"/>
                <w:highlight w:val="none"/>
                <w:lang w:eastAsia="zh-CN"/>
              </w:rPr>
              <w:t>米</w:t>
            </w:r>
            <w:r>
              <w:rPr>
                <w:rFonts w:hint="eastAsia" w:ascii="Times New Roman" w:hAnsi="Times New Roman" w:eastAsia="宋体" w:cs="Times New Roman"/>
                <w:color w:val="auto"/>
                <w:sz w:val="21"/>
                <w:szCs w:val="21"/>
                <w:highlight w:val="none"/>
              </w:rPr>
              <w:t>排气筒达标排放</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沥青混凝土</w:t>
            </w:r>
            <w:r>
              <w:rPr>
                <w:rFonts w:hint="eastAsia" w:ascii="Times New Roman" w:hAnsi="Times New Roman" w:eastAsia="宋体" w:cs="Times New Roman"/>
                <w:color w:val="auto"/>
                <w:sz w:val="21"/>
                <w:szCs w:val="21"/>
                <w:highlight w:val="none"/>
                <w:lang w:eastAsia="zh-CN"/>
              </w:rPr>
              <w:t>搅拌、卸料装车及储罐呼吸废气密闭收集，引入骨料烘干筒主燃烧器焚烧处理后，利用烘</w:t>
            </w:r>
            <w:r>
              <w:rPr>
                <w:rFonts w:hint="eastAsia" w:ascii="Times New Roman" w:cs="Times New Roman"/>
                <w:color w:val="auto"/>
                <w:sz w:val="21"/>
                <w:szCs w:val="21"/>
                <w:highlight w:val="none"/>
                <w:lang w:eastAsia="zh-CN"/>
              </w:rPr>
              <w:t>干系统的</w:t>
            </w:r>
            <w:r>
              <w:rPr>
                <w:rFonts w:hint="eastAsia" w:ascii="Times New Roman" w:hAnsi="Times New Roman" w:eastAsia="宋体" w:cs="Times New Roman"/>
                <w:color w:val="auto"/>
                <w:sz w:val="21"/>
                <w:szCs w:val="21"/>
                <w:highlight w:val="none"/>
              </w:rPr>
              <w:t>除尘系统</w:t>
            </w:r>
            <w:r>
              <w:rPr>
                <w:rFonts w:hint="eastAsia" w:ascii="Times New Roman" w:cs="Times New Roman"/>
                <w:color w:val="auto"/>
                <w:sz w:val="21"/>
                <w:szCs w:val="21"/>
                <w:highlight w:val="none"/>
                <w:lang w:eastAsia="zh-CN"/>
              </w:rPr>
              <w:t>采用</w:t>
            </w:r>
            <w:r>
              <w:rPr>
                <w:rFonts w:hint="eastAsia" w:ascii="Times New Roman" w:hAnsi="Times New Roman" w:eastAsia="宋体" w:cs="Times New Roman"/>
                <w:color w:val="auto"/>
                <w:sz w:val="21"/>
                <w:szCs w:val="21"/>
                <w:highlight w:val="none"/>
              </w:rPr>
              <w:t>旋风除尘+布袋除尘</w:t>
            </w:r>
            <w:r>
              <w:rPr>
                <w:rFonts w:hint="eastAsia" w:ascii="Times New Roman" w:hAnsi="Times New Roman" w:eastAsia="宋体" w:cs="Times New Roman"/>
                <w:color w:val="auto"/>
                <w:sz w:val="21"/>
                <w:szCs w:val="21"/>
                <w:highlight w:val="none"/>
                <w:lang w:eastAsia="zh-CN"/>
              </w:rPr>
              <w:t>处理后由15米排气筒达标排放。水稳层生产拌合设备及物料输送皮带密闭并采用湿法作业。矿粉及水泥筒仓分别采用仓顶脉冲布袋除尘器处理后通过除尘器排</w:t>
            </w:r>
            <w:r>
              <w:rPr>
                <w:rFonts w:hint="eastAsia" w:ascii="Times New Roman" w:hAnsi="Times New Roman" w:eastAsia="宋体" w:cs="Times New Roman"/>
                <w:color w:val="auto"/>
                <w:sz w:val="21"/>
                <w:szCs w:val="21"/>
                <w:highlight w:val="none"/>
                <w:lang w:val="en-US" w:eastAsia="zh-CN"/>
              </w:rPr>
              <w:t>气</w:t>
            </w:r>
            <w:r>
              <w:rPr>
                <w:rFonts w:hint="eastAsia" w:ascii="Times New Roman" w:hAnsi="Times New Roman" w:eastAsia="宋体" w:cs="Times New Roman"/>
                <w:color w:val="auto"/>
                <w:sz w:val="21"/>
                <w:szCs w:val="21"/>
                <w:highlight w:val="none"/>
                <w:lang w:eastAsia="zh-CN"/>
              </w:rPr>
              <w:t>口达标排放。</w:t>
            </w:r>
          </w:p>
          <w:p>
            <w:pPr>
              <w:pStyle w:val="14"/>
              <w:shd w:val="clear" w:color="auto" w:fill="FFFFFF"/>
              <w:spacing w:before="0" w:beforeAutospacing="0" w:after="0" w:afterAutospacing="0" w:line="300" w:lineRule="atLeast"/>
              <w:ind w:firstLine="405"/>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报告表确定在</w:t>
            </w:r>
            <w:r>
              <w:rPr>
                <w:rFonts w:hint="eastAsia" w:ascii="Times New Roman" w:hAnsi="Times New Roman" w:eastAsia="宋体" w:cs="Times New Roman"/>
                <w:color w:val="auto"/>
                <w:sz w:val="21"/>
                <w:szCs w:val="21"/>
                <w:highlight w:val="none"/>
                <w:lang w:eastAsia="zh-CN"/>
              </w:rPr>
              <w:t>生产区</w:t>
            </w:r>
            <w:r>
              <w:rPr>
                <w:rFonts w:hint="eastAsia" w:ascii="Times New Roman" w:hAnsi="Times New Roman" w:eastAsia="宋体" w:cs="Times New Roman"/>
                <w:color w:val="auto"/>
                <w:sz w:val="21"/>
                <w:szCs w:val="21"/>
                <w:highlight w:val="none"/>
                <w:lang w:val="en-US" w:eastAsia="zh-CN"/>
              </w:rPr>
              <w:t>及堆场</w:t>
            </w:r>
            <w:r>
              <w:rPr>
                <w:rFonts w:hint="eastAsia" w:ascii="Times New Roman" w:hAnsi="Times New Roman" w:eastAsia="宋体" w:cs="Times New Roman"/>
                <w:color w:val="auto"/>
                <w:sz w:val="21"/>
                <w:szCs w:val="21"/>
                <w:highlight w:val="none"/>
                <w:lang w:eastAsia="zh-CN"/>
              </w:rPr>
              <w:t>边界</w:t>
            </w:r>
            <w:r>
              <w:rPr>
                <w:rFonts w:hint="eastAsia" w:ascii="Times New Roman" w:hAnsi="Times New Roman" w:eastAsia="宋体" w:cs="Times New Roman"/>
                <w:color w:val="auto"/>
                <w:sz w:val="21"/>
                <w:szCs w:val="21"/>
                <w:highlight w:val="none"/>
                <w:lang w:val="en-US" w:eastAsia="zh-CN"/>
              </w:rPr>
              <w:t>外设置50米卫生防护距离，控制和减小无组织排放废气对周围环境的影响，</w:t>
            </w:r>
            <w:r>
              <w:rPr>
                <w:rFonts w:hint="default" w:ascii="Times New Roman" w:hAnsi="Times New Roman" w:eastAsia="宋体" w:cs="Times New Roman"/>
                <w:color w:val="auto"/>
                <w:sz w:val="21"/>
                <w:szCs w:val="21"/>
                <w:highlight w:val="none"/>
                <w:lang w:val="en-US" w:eastAsia="zh-CN"/>
              </w:rPr>
              <w:t>此范围内现无居民分布。</w:t>
            </w:r>
          </w:p>
          <w:p>
            <w:pPr>
              <w:pStyle w:val="14"/>
              <w:shd w:val="clear" w:color="auto" w:fill="FFFFFF"/>
              <w:spacing w:before="0" w:beforeAutospacing="0" w:after="0" w:afterAutospacing="0" w:line="300" w:lineRule="atLeast"/>
              <w:ind w:firstLine="405"/>
              <w:jc w:val="both"/>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w:t>
            </w:r>
            <w:r>
              <w:rPr>
                <w:rFonts w:hint="eastAsia" w:ascii="Times New Roman" w:cs="Times New Roman"/>
                <w:color w:val="auto"/>
                <w:sz w:val="21"/>
                <w:szCs w:val="21"/>
                <w:highlight w:val="none"/>
                <w:lang w:val="en-US" w:eastAsia="zh-CN"/>
              </w:rPr>
              <w:t>二</w:t>
            </w:r>
            <w:r>
              <w:rPr>
                <w:rFonts w:hint="eastAsia" w:ascii="Times New Roman" w:hAnsi="Times New Roman" w:eastAsia="宋体" w:cs="Times New Roman"/>
                <w:color w:val="auto"/>
                <w:sz w:val="21"/>
                <w:szCs w:val="21"/>
                <w:highlight w:val="none"/>
              </w:rPr>
              <w:t>）水污染防治措施</w:t>
            </w:r>
          </w:p>
          <w:p>
            <w:pPr>
              <w:pStyle w:val="14"/>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300" w:lineRule="atLeast"/>
              <w:ind w:firstLine="403"/>
              <w:jc w:val="both"/>
              <w:textAlignment w:val="auto"/>
              <w:rPr>
                <w:rFonts w:hint="eastAsia" w:ascii="Times New Roman" w:hAnsi="Times New Roman" w:eastAsia="宋体" w:cs="Times New Roman"/>
                <w:color w:val="0000FF"/>
                <w:sz w:val="21"/>
                <w:szCs w:val="21"/>
                <w:highlight w:val="none"/>
              </w:rPr>
            </w:pPr>
            <w:r>
              <w:rPr>
                <w:rFonts w:hint="eastAsia" w:ascii="Times New Roman" w:hAnsi="Times New Roman" w:eastAsia="宋体" w:cs="Times New Roman"/>
                <w:color w:val="auto"/>
                <w:sz w:val="21"/>
                <w:szCs w:val="21"/>
                <w:highlight w:val="none"/>
                <w:lang w:val="en-US" w:eastAsia="zh-CN"/>
              </w:rPr>
              <w:t>生活污水依托厂区内已建预处理池处理后由吸污车定期转运至白沙镇污水处理厂处理。地面冲洗废水通过环形截留水沟收集，采用隔油+三级沉淀池（兼作初期雨水池）处理后回用于生产</w:t>
            </w:r>
            <w:r>
              <w:rPr>
                <w:rFonts w:hint="eastAsia" w:ascii="Times New Roman" w:hAnsi="Times New Roman" w:eastAsia="宋体" w:cs="Times New Roman"/>
                <w:color w:val="auto"/>
                <w:sz w:val="21"/>
                <w:szCs w:val="21"/>
                <w:highlight w:val="none"/>
              </w:rPr>
              <w:t>，不外排</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车辆冲洗废水排入洗车池</w:t>
            </w:r>
            <w:r>
              <w:rPr>
                <w:rFonts w:hint="eastAsia" w:ascii="Times New Roman" w:cs="Times New Roman"/>
                <w:color w:val="auto"/>
                <w:sz w:val="21"/>
                <w:szCs w:val="21"/>
                <w:highlight w:val="none"/>
                <w:lang w:eastAsia="zh-CN"/>
              </w:rPr>
              <w:t>，采用</w:t>
            </w:r>
            <w:r>
              <w:rPr>
                <w:rFonts w:hint="eastAsia" w:ascii="Times New Roman" w:hAnsi="Times New Roman" w:eastAsia="宋体" w:cs="Times New Roman"/>
                <w:color w:val="auto"/>
                <w:sz w:val="21"/>
                <w:szCs w:val="21"/>
                <w:highlight w:val="none"/>
              </w:rPr>
              <w:t>下沉式隔油沉淀池</w:t>
            </w:r>
            <w:r>
              <w:rPr>
                <w:rFonts w:hint="eastAsia" w:ascii="Times New Roman" w:cs="Times New Roman"/>
                <w:color w:val="auto"/>
                <w:sz w:val="21"/>
                <w:szCs w:val="21"/>
                <w:highlight w:val="none"/>
                <w:lang w:eastAsia="zh-CN"/>
              </w:rPr>
              <w:t>处理后</w:t>
            </w:r>
            <w:r>
              <w:rPr>
                <w:rFonts w:hint="eastAsia" w:ascii="Times New Roman" w:hAnsi="Times New Roman" w:eastAsia="宋体" w:cs="Times New Roman"/>
                <w:color w:val="auto"/>
                <w:sz w:val="21"/>
                <w:szCs w:val="21"/>
                <w:highlight w:val="none"/>
              </w:rPr>
              <w:t>后回用于洗车，不外排</w:t>
            </w:r>
          </w:p>
          <w:p>
            <w:pPr>
              <w:pStyle w:val="14"/>
              <w:shd w:val="clear" w:color="auto" w:fill="FFFFFF"/>
              <w:spacing w:before="0" w:beforeAutospacing="0" w:after="0" w:afterAutospacing="0" w:line="300" w:lineRule="atLeast"/>
              <w:ind w:firstLine="405"/>
              <w:jc w:val="both"/>
              <w:rPr>
                <w:rFonts w:ascii="Times New Roman" w:cs="Times New Roman"/>
                <w:color w:val="auto"/>
                <w:sz w:val="21"/>
                <w:szCs w:val="21"/>
                <w:highlight w:val="none"/>
              </w:rPr>
            </w:pPr>
            <w:r>
              <w:rPr>
                <w:rFonts w:ascii="Times New Roman" w:cs="Times New Roman"/>
                <w:color w:val="auto"/>
                <w:sz w:val="21"/>
                <w:szCs w:val="21"/>
                <w:highlight w:val="none"/>
              </w:rPr>
              <w:t>（</w:t>
            </w:r>
            <w:r>
              <w:rPr>
                <w:rFonts w:hint="eastAsia" w:ascii="Times New Roman" w:cs="Times New Roman"/>
                <w:color w:val="auto"/>
                <w:sz w:val="21"/>
                <w:szCs w:val="21"/>
                <w:highlight w:val="none"/>
                <w:lang w:val="en-US" w:eastAsia="zh-CN"/>
              </w:rPr>
              <w:t>三</w:t>
            </w:r>
            <w:r>
              <w:rPr>
                <w:rFonts w:ascii="Times New Roman" w:cs="Times New Roman"/>
                <w:color w:val="auto"/>
                <w:sz w:val="21"/>
                <w:szCs w:val="21"/>
                <w:highlight w:val="none"/>
              </w:rPr>
              <w:t>）</w:t>
            </w:r>
            <w:r>
              <w:rPr>
                <w:rFonts w:hint="eastAsia" w:ascii="Times New Roman" w:cs="Times New Roman"/>
                <w:color w:val="auto"/>
                <w:sz w:val="21"/>
                <w:szCs w:val="21"/>
                <w:highlight w:val="none"/>
              </w:rPr>
              <w:t>噪声污染防治措施</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contextualSpacing/>
              <w:jc w:val="left"/>
              <w:rPr>
                <w:rFonts w:hint="eastAsia" w:ascii="Times New Roman" w:hAnsi="Times New Roman" w:eastAsia="宋体" w:cs="Times New Roman"/>
                <w:color w:val="auto"/>
                <w:highlight w:val="none"/>
                <w:lang w:eastAsia="zh-CN" w:bidi="ar-SA"/>
              </w:rPr>
            </w:pPr>
            <w:r>
              <w:rPr>
                <w:rFonts w:hint="eastAsia" w:eastAsia="宋体" w:cs="Times New Roman"/>
                <w:color w:val="auto"/>
                <w:highlight w:val="none"/>
                <w:lang w:val="en-US" w:eastAsia="zh-CN"/>
              </w:rPr>
              <w:t>项目厂区主要噪声源为</w:t>
            </w:r>
            <w:r>
              <w:rPr>
                <w:rFonts w:hint="eastAsia" w:cs="Times New Roman"/>
                <w:color w:val="auto"/>
                <w:highlight w:val="none"/>
                <w:lang w:eastAsia="zh-CN"/>
              </w:rPr>
              <w:t>振动筛、空压机、风机、烘干机、搅拌机</w:t>
            </w:r>
            <w:r>
              <w:rPr>
                <w:rFonts w:hint="eastAsia" w:eastAsia="宋体" w:cs="Times New Roman"/>
                <w:color w:val="auto"/>
                <w:highlight w:val="none"/>
                <w:lang w:val="en-US" w:eastAsia="zh-CN"/>
              </w:rPr>
              <w:t>等设备，</w:t>
            </w:r>
            <w:r>
              <w:rPr>
                <w:rFonts w:hint="eastAsia" w:ascii="Times New Roman" w:hAnsi="Times New Roman" w:cs="Times New Roman"/>
                <w:color w:val="auto"/>
                <w:highlight w:val="none"/>
                <w:lang w:eastAsia="zh-CN" w:bidi="ar-SA"/>
              </w:rPr>
              <w:t>项目选用低噪声设备，采取减</w:t>
            </w:r>
            <w:r>
              <w:rPr>
                <w:color w:val="auto"/>
              </w:rPr>
              <w:t>震</w:t>
            </w:r>
            <w:r>
              <w:rPr>
                <w:rFonts w:hint="eastAsia"/>
                <w:color w:val="auto"/>
                <w:lang w:eastAsia="zh-CN"/>
              </w:rPr>
              <w:t>、夜间不生产</w:t>
            </w:r>
            <w:r>
              <w:rPr>
                <w:rFonts w:hint="eastAsia" w:ascii="Times New Roman" w:hAnsi="Times New Roman" w:cs="Times New Roman"/>
                <w:color w:val="auto"/>
                <w:highlight w:val="none"/>
                <w:lang w:eastAsia="zh-CN" w:bidi="ar-SA"/>
              </w:rPr>
              <w:t>等降噪措施，</w:t>
            </w:r>
            <w:r>
              <w:rPr>
                <w:rFonts w:hint="default" w:ascii="Times New Roman" w:hAnsi="Times New Roman" w:eastAsia="宋体" w:cs="Times New Roman"/>
                <w:color w:val="auto"/>
                <w:highlight w:val="none"/>
                <w:lang w:bidi="ar-SA"/>
              </w:rPr>
              <w:t>利用距离衰减降低噪声排放</w:t>
            </w:r>
            <w:r>
              <w:rPr>
                <w:rFonts w:hint="default" w:ascii="Times New Roman" w:hAnsi="Times New Roman" w:eastAsia="宋体" w:cs="Times New Roman"/>
                <w:color w:val="auto"/>
                <w:highlight w:val="none"/>
                <w:lang w:eastAsia="zh-CN" w:bidi="ar-SA"/>
              </w:rPr>
              <w:t>，确保</w:t>
            </w:r>
            <w:r>
              <w:rPr>
                <w:rFonts w:hint="default" w:ascii="Times New Roman" w:hAnsi="Times New Roman" w:eastAsia="宋体" w:cs="Times New Roman"/>
                <w:color w:val="auto"/>
                <w:highlight w:val="none"/>
                <w:lang w:bidi="ar-SA"/>
              </w:rPr>
              <w:t>厂界噪声</w:t>
            </w:r>
            <w:r>
              <w:rPr>
                <w:rFonts w:hint="eastAsia" w:ascii="Times New Roman" w:hAnsi="Times New Roman" w:cs="Times New Roman"/>
                <w:color w:val="auto"/>
                <w:highlight w:val="none"/>
                <w:lang w:eastAsia="zh-CN" w:bidi="ar-SA"/>
              </w:rPr>
              <w:t>达标</w:t>
            </w:r>
            <w:r>
              <w:rPr>
                <w:rFonts w:hint="default" w:ascii="Times New Roman" w:hAnsi="Times New Roman" w:eastAsia="宋体" w:cs="Times New Roman"/>
                <w:color w:val="auto"/>
                <w:highlight w:val="none"/>
                <w:lang w:bidi="ar-SA"/>
              </w:rPr>
              <w:t>。</w:t>
            </w:r>
          </w:p>
          <w:p>
            <w:pPr>
              <w:pStyle w:val="14"/>
              <w:shd w:val="clear" w:color="auto" w:fill="FFFFFF"/>
              <w:spacing w:before="0" w:beforeAutospacing="0" w:after="0" w:afterAutospacing="0" w:line="300" w:lineRule="atLeast"/>
              <w:ind w:firstLine="405"/>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（四）固体废物污染防治措施</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contextualSpacing/>
              <w:jc w:val="left"/>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2"/>
                <w:sz w:val="21"/>
                <w:szCs w:val="24"/>
                <w:highlight w:val="none"/>
                <w:lang w:val="en-US" w:eastAsia="zh-CN" w:bidi="ar-SA"/>
              </w:rPr>
              <w:t>生活垃圾由环卫部门统一清运</w:t>
            </w:r>
            <w:r>
              <w:rPr>
                <w:rFonts w:hint="eastAsia" w:ascii="Times New Roman" w:hAnsi="Times New Roman" w:eastAsia="宋体" w:cs="Times New Roman"/>
                <w:color w:val="auto"/>
                <w:kern w:val="2"/>
                <w:sz w:val="21"/>
                <w:szCs w:val="24"/>
                <w:highlight w:val="none"/>
                <w:lang w:val="en-US" w:eastAsia="zh-CN" w:bidi="ar-SA"/>
              </w:rPr>
              <w:t>。沉淀池沉渣定期清掏交由有主体资格和技术能力的单位利用。水稳出料残渣收集后回用于生产。</w:t>
            </w:r>
            <w:r>
              <w:rPr>
                <w:rFonts w:hint="default" w:ascii="Times New Roman" w:hAnsi="Times New Roman" w:eastAsia="宋体" w:cs="Times New Roman"/>
                <w:color w:val="auto"/>
                <w:kern w:val="2"/>
                <w:sz w:val="21"/>
                <w:szCs w:val="24"/>
                <w:highlight w:val="none"/>
                <w:lang w:val="en-US" w:eastAsia="zh-CN" w:bidi="ar-SA"/>
              </w:rPr>
              <w:t>滴漏沥青及拌合残渣</w:t>
            </w:r>
            <w:r>
              <w:rPr>
                <w:rFonts w:hint="eastAsia" w:ascii="Times New Roman" w:hAnsi="Times New Roman" w:eastAsia="宋体" w:cs="Times New Roman"/>
                <w:color w:val="auto"/>
                <w:kern w:val="2"/>
                <w:sz w:val="21"/>
                <w:szCs w:val="24"/>
                <w:highlight w:val="none"/>
                <w:lang w:val="en-US" w:eastAsia="zh-CN" w:bidi="ar-SA"/>
              </w:rPr>
              <w:t>收集</w:t>
            </w:r>
            <w:r>
              <w:rPr>
                <w:rFonts w:hint="default" w:ascii="Times New Roman" w:hAnsi="Times New Roman" w:eastAsia="宋体" w:cs="Times New Roman"/>
                <w:color w:val="auto"/>
                <w:kern w:val="2"/>
                <w:sz w:val="21"/>
                <w:szCs w:val="24"/>
                <w:highlight w:val="none"/>
                <w:lang w:val="en-US" w:eastAsia="zh-CN" w:bidi="ar-SA"/>
              </w:rPr>
              <w:t>至运输罐车</w:t>
            </w:r>
            <w:r>
              <w:rPr>
                <w:rFonts w:hint="eastAsia" w:ascii="Times New Roman" w:hAnsi="Times New Roman" w:eastAsia="宋体" w:cs="Times New Roman"/>
                <w:color w:val="auto"/>
                <w:kern w:val="2"/>
                <w:sz w:val="21"/>
                <w:szCs w:val="24"/>
                <w:highlight w:val="none"/>
                <w:lang w:val="en-US" w:eastAsia="zh-CN" w:bidi="ar-SA"/>
              </w:rPr>
              <w:t>。</w:t>
            </w:r>
            <w:r>
              <w:rPr>
                <w:rFonts w:hint="default" w:ascii="Times New Roman" w:hAnsi="Times New Roman" w:eastAsia="宋体" w:cs="Times New Roman"/>
                <w:color w:val="auto"/>
                <w:kern w:val="2"/>
                <w:sz w:val="21"/>
                <w:szCs w:val="24"/>
                <w:highlight w:val="none"/>
                <w:lang w:val="en-US" w:eastAsia="zh-CN" w:bidi="ar-SA"/>
              </w:rPr>
              <w:t>除尘灰</w:t>
            </w:r>
            <w:r>
              <w:rPr>
                <w:rFonts w:hint="eastAsia" w:ascii="Times New Roman" w:hAnsi="Times New Roman" w:eastAsia="宋体" w:cs="Times New Roman"/>
                <w:color w:val="auto"/>
                <w:kern w:val="2"/>
                <w:sz w:val="21"/>
                <w:szCs w:val="24"/>
                <w:highlight w:val="none"/>
                <w:lang w:val="en-US" w:eastAsia="zh-CN" w:bidi="ar-SA"/>
              </w:rPr>
              <w:t>收集交由有主体资格和技术能力的单位利用。不合格骨料收集暂存后定期交由</w:t>
            </w:r>
            <w:r>
              <w:rPr>
                <w:rFonts w:hint="eastAsia" w:ascii="Times New Roman" w:hAnsi="Times New Roman" w:eastAsia="宋体" w:cs="Times New Roman"/>
                <w:color w:val="auto"/>
                <w:highlight w:val="none"/>
                <w:lang w:val="en-US" w:eastAsia="zh-CN"/>
              </w:rPr>
              <w:t>石料供应商回收。废润滑油、废油桶、废含油抹布和手套、废导热油等危险废物分类</w:t>
            </w:r>
            <w:r>
              <w:rPr>
                <w:rFonts w:hint="default" w:ascii="Times New Roman" w:hAnsi="Times New Roman" w:eastAsia="宋体" w:cs="Times New Roman"/>
                <w:color w:val="auto"/>
                <w:highlight w:val="none"/>
                <w:lang w:val="en-US" w:eastAsia="zh-CN"/>
              </w:rPr>
              <w:t>配备专用收集容器，</w:t>
            </w:r>
            <w:r>
              <w:rPr>
                <w:rFonts w:hint="eastAsia" w:ascii="Times New Roman" w:hAnsi="Times New Roman" w:eastAsia="宋体" w:cs="Times New Roman"/>
                <w:color w:val="auto"/>
                <w:highlight w:val="none"/>
                <w:lang w:val="en-US" w:eastAsia="zh-CN"/>
              </w:rPr>
              <w:t>规范</w:t>
            </w:r>
            <w:r>
              <w:rPr>
                <w:rFonts w:hint="default" w:ascii="Times New Roman" w:hAnsi="Times New Roman" w:eastAsia="宋体" w:cs="Times New Roman"/>
                <w:color w:val="auto"/>
                <w:highlight w:val="none"/>
                <w:lang w:val="en-US" w:eastAsia="zh-CN"/>
              </w:rPr>
              <w:t>存放于</w:t>
            </w:r>
            <w:r>
              <w:rPr>
                <w:rFonts w:hint="eastAsia" w:ascii="Times New Roman" w:hAnsi="Times New Roman" w:eastAsia="宋体" w:cs="Times New Roman"/>
                <w:color w:val="auto"/>
                <w:highlight w:val="none"/>
                <w:lang w:val="en-US" w:eastAsia="zh-CN"/>
              </w:rPr>
              <w:t>危废暂存间，定期</w:t>
            </w:r>
            <w:r>
              <w:rPr>
                <w:rFonts w:hint="default" w:ascii="Times New Roman" w:hAnsi="Times New Roman" w:eastAsia="宋体" w:cs="Times New Roman"/>
                <w:color w:val="auto"/>
                <w:highlight w:val="none"/>
                <w:lang w:val="en-US" w:eastAsia="zh-CN"/>
              </w:rPr>
              <w:t>交</w:t>
            </w:r>
            <w:r>
              <w:rPr>
                <w:rFonts w:hint="eastAsia" w:ascii="Times New Roman" w:hAnsi="Times New Roman" w:eastAsia="宋体" w:cs="Times New Roman"/>
                <w:color w:val="auto"/>
                <w:highlight w:val="none"/>
                <w:lang w:val="en-US" w:eastAsia="zh-CN"/>
              </w:rPr>
              <w:t>由</w:t>
            </w:r>
            <w:r>
              <w:rPr>
                <w:rFonts w:hint="default" w:ascii="Times New Roman" w:hAnsi="Times New Roman" w:eastAsia="宋体" w:cs="Times New Roman"/>
                <w:color w:val="auto"/>
                <w:highlight w:val="none"/>
                <w:lang w:val="en-US" w:eastAsia="zh-CN"/>
              </w:rPr>
              <w:t>有资质的单位处置</w:t>
            </w:r>
            <w:r>
              <w:rPr>
                <w:rFonts w:hint="eastAsia" w:ascii="Times New Roman" w:hAnsi="Times New Roman" w:eastAsia="宋体" w:cs="Times New Roman"/>
                <w:color w:val="auto"/>
                <w:highlight w:val="none"/>
                <w:lang w:val="en-US" w:eastAsia="zh-CN"/>
              </w:rPr>
              <w:t>。</w:t>
            </w:r>
          </w:p>
          <w:p>
            <w:pPr>
              <w:pStyle w:val="14"/>
              <w:shd w:val="clear" w:color="auto" w:fill="FFFFFF"/>
              <w:spacing w:before="0" w:beforeAutospacing="0" w:after="0" w:afterAutospacing="0" w:line="300" w:lineRule="atLeast"/>
              <w:ind w:firstLine="405"/>
              <w:jc w:val="both"/>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（五）</w:t>
            </w:r>
            <w:r>
              <w:rPr>
                <w:rFonts w:hint="default" w:ascii="Times New Roman" w:hAnsi="Times New Roman" w:eastAsia="宋体" w:cs="Times New Roman"/>
                <w:color w:val="auto"/>
                <w:sz w:val="21"/>
                <w:szCs w:val="21"/>
                <w:highlight w:val="none"/>
                <w:lang w:val="en-US" w:eastAsia="zh-CN"/>
              </w:rPr>
              <w:t>地下水和土壤污染防治措施</w:t>
            </w:r>
          </w:p>
          <w:p>
            <w:pPr>
              <w:keepNext w:val="0"/>
              <w:keepLines w:val="0"/>
              <w:pageBreakBefore w:val="0"/>
              <w:widowControl/>
              <w:kinsoku/>
              <w:wordWrap/>
              <w:overflowPunct/>
              <w:topLinePunct w:val="0"/>
              <w:autoSpaceDE/>
              <w:autoSpaceDN/>
              <w:bidi w:val="0"/>
              <w:adjustRightInd w:val="0"/>
              <w:snapToGrid w:val="0"/>
              <w:spacing w:line="240" w:lineRule="auto"/>
              <w:ind w:firstLine="420" w:firstLineChars="200"/>
              <w:contextualSpacing/>
              <w:jc w:val="left"/>
              <w:rPr>
                <w:rFonts w:hint="eastAsia" w:ascii="Times New Roman" w:hAnsi="Times New Roman" w:eastAsia="宋体" w:cs="Times New Roman"/>
                <w:color w:val="auto"/>
                <w:sz w:val="21"/>
                <w:szCs w:val="21"/>
                <w:highlight w:val="none"/>
              </w:rPr>
            </w:pPr>
            <w:r>
              <w:rPr>
                <w:rFonts w:hint="default" w:ascii="Times New Roman" w:hAnsi="Times New Roman" w:eastAsia="宋体" w:cs="Times New Roman"/>
                <w:color w:val="auto"/>
                <w:highlight w:val="none"/>
                <w:lang w:val="en-US" w:eastAsia="zh-CN"/>
              </w:rPr>
              <w:t>坚持“源头控制、末端防治、污染监控、应急响应”的原则，对可能污染地下水和土壤的区域进行防渗处理，</w:t>
            </w:r>
            <w:r>
              <w:rPr>
                <w:rFonts w:hint="eastAsia"/>
                <w:color w:val="auto"/>
                <w:sz w:val="24"/>
              </w:rPr>
              <w:t>危废暂存间、沥青储罐区、导热油炉区及沥青拌合区</w:t>
            </w:r>
            <w:r>
              <w:rPr>
                <w:rFonts w:hint="default" w:ascii="Times New Roman" w:hAnsi="Times New Roman" w:eastAsia="宋体" w:cs="Times New Roman"/>
                <w:color w:val="auto"/>
                <w:highlight w:val="none"/>
                <w:lang w:val="en-US" w:eastAsia="zh-CN"/>
              </w:rPr>
              <w:t>等区域进行重点防渗处理，</w:t>
            </w:r>
            <w:r>
              <w:rPr>
                <w:rFonts w:hint="eastAsia" w:ascii="Times New Roman" w:hAnsi="Times New Roman" w:eastAsia="宋体" w:cs="Times New Roman"/>
                <w:color w:val="auto"/>
                <w:highlight w:val="none"/>
                <w:lang w:val="en-US" w:eastAsia="zh-CN"/>
              </w:rPr>
              <w:t>不合格骨料暂存点及罐区</w:t>
            </w:r>
            <w:r>
              <w:rPr>
                <w:rFonts w:hint="default" w:ascii="Times New Roman" w:hAnsi="Times New Roman" w:eastAsia="宋体" w:cs="Times New Roman"/>
                <w:color w:val="auto"/>
                <w:highlight w:val="none"/>
                <w:lang w:val="en-US" w:eastAsia="zh-CN"/>
              </w:rPr>
              <w:t>设置</w:t>
            </w:r>
            <w:r>
              <w:rPr>
                <w:rFonts w:hint="eastAsia" w:ascii="Times New Roman" w:hAnsi="Times New Roman" w:eastAsia="宋体" w:cs="Times New Roman"/>
                <w:color w:val="auto"/>
                <w:highlight w:val="none"/>
                <w:lang w:val="en-US" w:eastAsia="zh-CN"/>
              </w:rPr>
              <w:t>围堰</w:t>
            </w:r>
            <w:r>
              <w:rPr>
                <w:rFonts w:hint="default" w:ascii="Times New Roman" w:hAnsi="Times New Roman" w:eastAsia="宋体" w:cs="Times New Roman"/>
                <w:color w:val="auto"/>
                <w:highlight w:val="none"/>
                <w:lang w:val="en-US" w:eastAsia="zh-CN"/>
              </w:rPr>
              <w:t>。建立有关规章制度和岗位责任制，按报告书要求定期监测项目区域地下水和土壤，一旦发现异常，应及时报告当地生态环境部门，并采取相关应急措施。</w:t>
            </w:r>
          </w:p>
          <w:p>
            <w:pPr>
              <w:pStyle w:val="14"/>
              <w:numPr>
                <w:ilvl w:val="0"/>
                <w:numId w:val="1"/>
              </w:numPr>
              <w:shd w:val="clear" w:color="auto" w:fill="FFFFFF"/>
              <w:spacing w:before="0" w:beforeAutospacing="0" w:after="0" w:afterAutospacing="0" w:line="300" w:lineRule="atLeast"/>
              <w:ind w:firstLine="405"/>
              <w:jc w:val="both"/>
              <w:rPr>
                <w:rFonts w:ascii="Times New Roman" w:cs="Times New Roman"/>
                <w:b/>
                <w:bCs/>
                <w:color w:val="auto"/>
                <w:sz w:val="21"/>
                <w:szCs w:val="21"/>
                <w:highlight w:val="none"/>
              </w:rPr>
            </w:pPr>
            <w:r>
              <w:rPr>
                <w:rFonts w:hint="eastAsia" w:ascii="Times New Roman" w:cs="Times New Roman"/>
                <w:b/>
                <w:bCs/>
                <w:color w:val="auto"/>
                <w:sz w:val="21"/>
                <w:szCs w:val="21"/>
                <w:highlight w:val="none"/>
              </w:rPr>
              <w:t>主要环境风险防范措施</w:t>
            </w:r>
          </w:p>
          <w:p>
            <w:pPr>
              <w:keepNext w:val="0"/>
              <w:keepLines w:val="0"/>
              <w:pageBreakBefore w:val="0"/>
              <w:widowControl/>
              <w:kinsoku/>
              <w:wordWrap/>
              <w:overflowPunct/>
              <w:topLinePunct w:val="0"/>
              <w:autoSpaceDE/>
              <w:autoSpaceDN/>
              <w:bidi w:val="0"/>
              <w:adjustRightInd w:val="0"/>
              <w:snapToGrid w:val="0"/>
              <w:spacing w:line="240" w:lineRule="auto"/>
              <w:ind w:firstLine="420"/>
              <w:contextualSpacing/>
              <w:jc w:val="left"/>
              <w:rPr>
                <w:rFonts w:hint="eastAsia" w:ascii="Times New Roman" w:cs="Times New Roman"/>
                <w:color w:val="0000FF"/>
                <w:sz w:val="21"/>
                <w:szCs w:val="21"/>
                <w:highlight w:val="none"/>
                <w:lang w:val="en-US" w:eastAsia="zh-CN"/>
              </w:rPr>
            </w:pPr>
            <w:r>
              <w:rPr>
                <w:rFonts w:hint="default" w:ascii="Times New Roman" w:hAnsi="Times New Roman" w:eastAsia="宋体" w:cs="Times New Roman"/>
                <w:color w:val="auto"/>
                <w:lang w:eastAsia="zh-CN" w:bidi="ar-SA"/>
              </w:rPr>
              <w:t>选用性能可靠的生产设备并</w:t>
            </w:r>
            <w:r>
              <w:rPr>
                <w:rFonts w:hint="default" w:ascii="Times New Roman" w:hAnsi="Times New Roman" w:eastAsia="宋体" w:cs="Times New Roman"/>
                <w:color w:val="auto"/>
                <w:lang w:val="en-US" w:eastAsia="zh-CN" w:bidi="ar-SA"/>
              </w:rPr>
              <w:t>加强生产管理与设施管理</w:t>
            </w:r>
            <w:r>
              <w:rPr>
                <w:rFonts w:hint="default" w:ascii="Times New Roman" w:hAnsi="Times New Roman" w:eastAsia="宋体" w:cs="Times New Roman"/>
                <w:color w:val="auto"/>
                <w:lang w:eastAsia="zh-CN" w:bidi="ar-SA"/>
              </w:rPr>
              <w:t>；</w:t>
            </w:r>
            <w:r>
              <w:rPr>
                <w:rFonts w:hint="default" w:ascii="Times New Roman" w:hAnsi="Times New Roman" w:eastAsia="宋体" w:cs="Times New Roman"/>
                <w:color w:val="auto"/>
                <w:lang w:val="en-US" w:eastAsia="zh-CN" w:bidi="ar-SA"/>
              </w:rPr>
              <w:t>加强消防组织与消防设施管理；</w:t>
            </w:r>
            <w:r>
              <w:rPr>
                <w:rFonts w:hint="default" w:ascii="Times New Roman" w:hAnsi="Times New Roman" w:eastAsia="宋体" w:cs="Times New Roman"/>
                <w:color w:val="auto"/>
                <w:lang w:eastAsia="zh-CN" w:bidi="ar-SA"/>
              </w:rPr>
              <w:t>加强泄漏事故防范，</w:t>
            </w:r>
            <w:r>
              <w:rPr>
                <w:rFonts w:hint="default" w:ascii="Times New Roman" w:hAnsi="Times New Roman" w:eastAsia="宋体" w:cs="Times New Roman"/>
                <w:color w:val="auto"/>
                <w:lang w:val="en-US" w:eastAsia="zh-CN" w:bidi="ar-SA"/>
              </w:rPr>
              <w:t>加强防渗及围堰设置与检查</w:t>
            </w:r>
            <w:r>
              <w:rPr>
                <w:rFonts w:hint="default" w:ascii="Times New Roman" w:hAnsi="Times New Roman" w:eastAsia="宋体" w:cs="Times New Roman"/>
                <w:color w:val="auto"/>
                <w:lang w:eastAsia="zh-CN" w:bidi="ar-SA"/>
              </w:rPr>
              <w:t>；</w:t>
            </w:r>
            <w:r>
              <w:rPr>
                <w:rFonts w:hint="default" w:ascii="Times New Roman" w:hAnsi="Times New Roman" w:eastAsia="宋体" w:cs="Times New Roman"/>
                <w:color w:val="auto"/>
                <w:lang w:val="en-US" w:eastAsia="zh-CN" w:bidi="ar-SA"/>
              </w:rPr>
              <w:t>加强环保设施日常管理维护。</w:t>
            </w:r>
            <w:r>
              <w:rPr>
                <w:rFonts w:hint="eastAsia" w:ascii="Times New Roman" w:hAnsi="Times New Roman" w:eastAsia="宋体" w:cs="Times New Roman"/>
                <w:color w:val="auto"/>
                <w:highlight w:val="none"/>
                <w:lang w:val="en-US" w:eastAsia="zh-CN"/>
              </w:rPr>
              <w:t>按要求</w:t>
            </w:r>
            <w:r>
              <w:rPr>
                <w:rFonts w:hint="default" w:ascii="Times New Roman" w:hAnsi="Times New Roman" w:eastAsia="宋体" w:cs="Times New Roman"/>
                <w:color w:val="auto"/>
                <w:highlight w:val="none"/>
                <w:lang w:val="en-US" w:eastAsia="zh-CN"/>
              </w:rPr>
              <w:t>制定突发环境事件应急预案，定期进行培训和演练</w:t>
            </w:r>
            <w:r>
              <w:rPr>
                <w:rFonts w:hint="eastAsia"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CN"/>
              </w:rPr>
              <w:t>控制和降低环境风险。</w:t>
            </w:r>
          </w:p>
        </w:tc>
      </w:tr>
    </w:tbl>
    <w:p>
      <w:pPr>
        <w:rPr>
          <w:color w:val="0000FF"/>
          <w:sz w:val="21"/>
          <w:szCs w:val="21"/>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文泉驿微米黑"/>
    <w:panose1 w:val="000000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A00002BF" w:usb1="38CF7CFA" w:usb2="00082016" w:usb3="00000000" w:csb0="00040001"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EE94A2"/>
    <w:multiLevelType w:val="singleLevel"/>
    <w:tmpl w:val="B4EE94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MDA3YmE1MGVhYzgwYWY5ZmFkOGJkOTUyNGE0MTk3ZWMifQ=="/>
  </w:docVars>
  <w:rsids>
    <w:rsidRoot w:val="00D25A2F"/>
    <w:rsid w:val="006E228F"/>
    <w:rsid w:val="00A62B3D"/>
    <w:rsid w:val="00D25A2F"/>
    <w:rsid w:val="028662B9"/>
    <w:rsid w:val="05EDE4C1"/>
    <w:rsid w:val="08EB7780"/>
    <w:rsid w:val="0B45535F"/>
    <w:rsid w:val="188F5625"/>
    <w:rsid w:val="1E2329B4"/>
    <w:rsid w:val="1ED26A03"/>
    <w:rsid w:val="1EF7058A"/>
    <w:rsid w:val="1EFD7390"/>
    <w:rsid w:val="230227AB"/>
    <w:rsid w:val="2CE7730B"/>
    <w:rsid w:val="2F530909"/>
    <w:rsid w:val="30FC590F"/>
    <w:rsid w:val="35CDFAAB"/>
    <w:rsid w:val="375E2AE6"/>
    <w:rsid w:val="3D3FC34D"/>
    <w:rsid w:val="3F6D3B46"/>
    <w:rsid w:val="3FFF1126"/>
    <w:rsid w:val="44091866"/>
    <w:rsid w:val="4CDF1F4C"/>
    <w:rsid w:val="589A55C4"/>
    <w:rsid w:val="5A655962"/>
    <w:rsid w:val="5B5F95B7"/>
    <w:rsid w:val="5BCBDCD7"/>
    <w:rsid w:val="5CFFB7D3"/>
    <w:rsid w:val="5E3D31C6"/>
    <w:rsid w:val="603D1CD6"/>
    <w:rsid w:val="657EDB8F"/>
    <w:rsid w:val="66F7BD1A"/>
    <w:rsid w:val="677D21CB"/>
    <w:rsid w:val="6972587E"/>
    <w:rsid w:val="6B7E7523"/>
    <w:rsid w:val="6BFF8689"/>
    <w:rsid w:val="6FF91F40"/>
    <w:rsid w:val="71BF4417"/>
    <w:rsid w:val="71EEAB2A"/>
    <w:rsid w:val="74FA8778"/>
    <w:rsid w:val="75B7FFA9"/>
    <w:rsid w:val="76EFD375"/>
    <w:rsid w:val="76FBFA1D"/>
    <w:rsid w:val="797948D0"/>
    <w:rsid w:val="7BF90740"/>
    <w:rsid w:val="7DF8C721"/>
    <w:rsid w:val="7F771036"/>
    <w:rsid w:val="7F7FC94B"/>
    <w:rsid w:val="7FD3982A"/>
    <w:rsid w:val="7FDE833C"/>
    <w:rsid w:val="7FFFA18B"/>
    <w:rsid w:val="96F7EC78"/>
    <w:rsid w:val="9AFFC751"/>
    <w:rsid w:val="9FADC997"/>
    <w:rsid w:val="BE3E2483"/>
    <w:rsid w:val="BFFD7FC4"/>
    <w:rsid w:val="CFD55F99"/>
    <w:rsid w:val="D3F25EE5"/>
    <w:rsid w:val="E3FF126E"/>
    <w:rsid w:val="E5BDBF6B"/>
    <w:rsid w:val="ECA755C1"/>
    <w:rsid w:val="F57F241C"/>
    <w:rsid w:val="F6BFC36B"/>
    <w:rsid w:val="F6DB5A96"/>
    <w:rsid w:val="F7E39E3B"/>
    <w:rsid w:val="F9F026B2"/>
    <w:rsid w:val="FBAFA4F2"/>
    <w:rsid w:val="FBEB1F60"/>
    <w:rsid w:val="FBF376B8"/>
    <w:rsid w:val="FDBC0B67"/>
    <w:rsid w:val="FDBF61F7"/>
    <w:rsid w:val="FEFD0FE3"/>
    <w:rsid w:val="FF3F68AD"/>
    <w:rsid w:val="FF836284"/>
    <w:rsid w:val="FFFFB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rFonts w:ascii="等线" w:eastAsia="等线"/>
      <w:b/>
      <w:kern w:val="44"/>
      <w:sz w:val="44"/>
      <w:szCs w:val="20"/>
    </w:rPr>
  </w:style>
  <w:style w:type="paragraph" w:styleId="5">
    <w:name w:val="heading 2"/>
    <w:basedOn w:val="1"/>
    <w:next w:val="1"/>
    <w:qFormat/>
    <w:uiPriority w:val="0"/>
    <w:pPr>
      <w:keepNext/>
      <w:keepLines/>
      <w:spacing w:before="260" w:after="260" w:line="415" w:lineRule="auto"/>
      <w:outlineLvl w:val="1"/>
    </w:pPr>
    <w:rPr>
      <w:rFonts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1"/>
    <w:qFormat/>
    <w:uiPriority w:val="0"/>
    <w:pPr>
      <w:spacing w:after="120"/>
      <w:ind w:left="200" w:leftChars="200"/>
    </w:pPr>
  </w:style>
  <w:style w:type="paragraph" w:styleId="7">
    <w:name w:val="annotation text"/>
    <w:basedOn w:val="1"/>
    <w:qFormat/>
    <w:uiPriority w:val="0"/>
    <w:pPr>
      <w:jc w:val="left"/>
    </w:pPr>
  </w:style>
  <w:style w:type="paragraph" w:styleId="8">
    <w:name w:val="Body Text Indent 2"/>
    <w:basedOn w:val="1"/>
    <w:next w:val="9"/>
    <w:qFormat/>
    <w:uiPriority w:val="0"/>
    <w:pPr>
      <w:spacing w:line="360" w:lineRule="auto"/>
    </w:pPr>
    <w:rPr>
      <w:sz w:val="24"/>
    </w:rPr>
  </w:style>
  <w:style w:type="paragraph" w:customStyle="1" w:styleId="9">
    <w:name w:val="简单回函地址"/>
    <w:basedOn w:val="1"/>
    <w:next w:val="10"/>
    <w:qFormat/>
    <w:uiPriority w:val="0"/>
    <w:pPr>
      <w:widowControl/>
    </w:pPr>
    <w:rPr>
      <w:rFonts w:ascii="宋体" w:hAnsi="宋体" w:eastAsia="宋体" w:cs="宋体"/>
      <w:kern w:val="0"/>
      <w:szCs w:val="20"/>
    </w:rPr>
  </w:style>
  <w:style w:type="paragraph" w:customStyle="1" w:styleId="10">
    <w:name w:val="正文2"/>
    <w:basedOn w:val="3"/>
    <w:next w:val="1"/>
    <w:qFormat/>
    <w:uiPriority w:val="0"/>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tabs>
        <w:tab w:val="center" w:pos="4153"/>
        <w:tab w:val="right" w:pos="8306"/>
      </w:tabs>
      <w:snapToGrid w:val="0"/>
    </w:pPr>
    <w:rPr>
      <w:sz w:val="18"/>
    </w:rPr>
  </w:style>
  <w:style w:type="paragraph" w:styleId="13">
    <w:name w:val="table of figures"/>
    <w:basedOn w:val="1"/>
    <w:next w:val="1"/>
    <w:qFormat/>
    <w:uiPriority w:val="0"/>
    <w:pPr>
      <w:widowControl/>
      <w:spacing w:after="120" w:line="360" w:lineRule="auto"/>
      <w:ind w:left="400" w:leftChars="200" w:hanging="200" w:hangingChars="200"/>
    </w:pPr>
    <w:rPr>
      <w:kern w:val="0"/>
      <w:sz w:val="24"/>
      <w:szCs w:val="20"/>
    </w:rPr>
  </w:style>
  <w:style w:type="paragraph" w:styleId="14">
    <w:name w:val="Normal (Web)"/>
    <w:basedOn w:val="1"/>
    <w:qFormat/>
    <w:uiPriority w:val="0"/>
    <w:pPr>
      <w:widowControl/>
      <w:spacing w:before="100" w:beforeAutospacing="1" w:after="100" w:afterAutospacing="1"/>
      <w:jc w:val="left"/>
    </w:pPr>
    <w:rPr>
      <w:rFonts w:ascii="宋体" w:cs="宋体"/>
      <w:kern w:val="0"/>
      <w:sz w:val="24"/>
    </w:rPr>
  </w:style>
  <w:style w:type="paragraph" w:styleId="15">
    <w:name w:val="annotation subject"/>
    <w:basedOn w:val="7"/>
    <w:next w:val="7"/>
    <w:qFormat/>
    <w:uiPriority w:val="0"/>
    <w:rPr>
      <w:b/>
    </w:rPr>
  </w:style>
  <w:style w:type="paragraph" w:customStyle="1" w:styleId="18">
    <w:name w:val="Default"/>
    <w:basedOn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纯文本1"/>
    <w:basedOn w:val="1"/>
    <w:qFormat/>
    <w:uiPriority w:val="0"/>
    <w:pPr>
      <w:adjustRightInd w:val="0"/>
      <w:spacing w:line="312" w:lineRule="atLeast"/>
      <w:textAlignment w:val="baseline"/>
    </w:pPr>
    <w:rPr>
      <w:caps/>
      <w:kern w:val="0"/>
      <w:szCs w:val="20"/>
    </w:rPr>
  </w:style>
  <w:style w:type="character" w:customStyle="1" w:styleId="20">
    <w:name w:val="ca-41"/>
    <w:qFormat/>
    <w:uiPriority w:val="0"/>
    <w:rPr>
      <w:rFonts w:ascii="宋体" w:eastAsia="宋体"/>
      <w:sz w:val="24"/>
      <w:szCs w:val="24"/>
    </w:rPr>
  </w:style>
  <w:style w:type="paragraph" w:customStyle="1" w:styleId="21">
    <w:name w:val="正文样式"/>
    <w:basedOn w:val="1"/>
    <w:qFormat/>
    <w:uiPriority w:val="0"/>
    <w:pPr>
      <w:spacing w:line="360" w:lineRule="auto"/>
      <w:ind w:firstLine="200" w:firstLineChars="200"/>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ICOS</Company>
  <Pages>2</Pages>
  <Words>1528</Words>
  <Characters>1639</Characters>
  <Lines>14</Lines>
  <Paragraphs>4</Paragraphs>
  <TotalTime>13</TotalTime>
  <ScaleCrop>false</ScaleCrop>
  <LinksUpToDate>false</LinksUpToDate>
  <CharactersWithSpaces>1639</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2024-05-13T22:21:00Z</dcterms:created>
  <dc:creator>木林之风@</dc:creator>
  <cp:lastModifiedBy>user</cp:lastModifiedBy>
  <cp:lastPrinted>2026-02-11T01:10:00Z</cp:lastPrinted>
  <dcterms:modified xsi:type="dcterms:W3CDTF">2026-02-11T09:01:04Z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D1375962BFC542E885E86685964C9BE0_13</vt:lpwstr>
  </property>
</Properties>
</file>