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14:textFill>
            <w14:solidFill>
              <w14:schemeClr w14:val="tx1"/>
            </w14:solidFill>
          </w14:textFill>
        </w:rPr>
      </w:pPr>
    </w:p>
    <w:tbl>
      <w:tblPr>
        <w:tblStyle w:val="9"/>
        <w:tblpPr w:leftFromText="180" w:rightFromText="180" w:vertAnchor="page" w:horzAnchor="page" w:tblpX="1936" w:tblpY="2455"/>
        <w:tblOverlap w:val="never"/>
        <w:tblW w:w="13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16"/>
        <w:gridCol w:w="717"/>
        <w:gridCol w:w="646"/>
        <w:gridCol w:w="2268"/>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0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项目名称</w:t>
            </w:r>
          </w:p>
        </w:tc>
        <w:tc>
          <w:tcPr>
            <w:tcW w:w="71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建设地点</w:t>
            </w:r>
          </w:p>
        </w:tc>
        <w:tc>
          <w:tcPr>
            <w:tcW w:w="717"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建设单位</w:t>
            </w:r>
          </w:p>
        </w:tc>
        <w:tc>
          <w:tcPr>
            <w:tcW w:w="64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环境影响评价机构</w:t>
            </w:r>
          </w:p>
        </w:tc>
        <w:tc>
          <w:tcPr>
            <w:tcW w:w="2268"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项目概况</w:t>
            </w:r>
          </w:p>
        </w:tc>
        <w:tc>
          <w:tcPr>
            <w:tcW w:w="808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主要环境影响及预防或者减轻</w:t>
            </w:r>
          </w:p>
          <w:p>
            <w:pPr>
              <w:jc w:val="center"/>
              <w:rPr>
                <w:color w:val="000000" w:themeColor="text1"/>
                <w14:textFill>
                  <w14:solidFill>
                    <w14:schemeClr w14:val="tx1"/>
                  </w14:solidFill>
                </w14:textFill>
              </w:rPr>
            </w:pPr>
            <w:r>
              <w:rPr>
                <w:color w:val="000000" w:themeColor="text1"/>
                <w14:textFill>
                  <w14:solidFill>
                    <w14:schemeClr w14:val="tx1"/>
                  </w14:solidFill>
                </w14:textFill>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0" w:type="dxa"/>
            <w:vAlign w:val="center"/>
          </w:tcPr>
          <w:p>
            <w:pPr>
              <w:pStyle w:val="7"/>
              <w:shd w:val="clear" w:color="auto" w:fill="FFFFFF"/>
              <w:spacing w:before="0" w:beforeAutospacing="0" w:after="0" w:afterAutospacing="0" w:line="300" w:lineRule="atLeast"/>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达州市长虹红旗煤矿30万吨/年独立升级改造建设项目</w:t>
            </w:r>
          </w:p>
        </w:tc>
        <w:tc>
          <w:tcPr>
            <w:tcW w:w="716" w:type="dxa"/>
            <w:vAlign w:val="center"/>
          </w:tcPr>
          <w:p>
            <w:pPr>
              <w:pStyle w:val="7"/>
              <w:shd w:val="clear" w:color="auto" w:fill="FFFFFF"/>
              <w:spacing w:before="0" w:beforeAutospacing="0" w:after="0" w:afterAutospacing="0" w:line="300" w:lineRule="atLeast"/>
              <w:jc w:val="both"/>
              <w:rPr>
                <w:color w:val="000000" w:themeColor="text1"/>
                <w:sz w:val="21"/>
                <w:szCs w:val="21"/>
                <w14:textFill>
                  <w14:solidFill>
                    <w14:schemeClr w14:val="tx1"/>
                  </w14:solidFill>
                </w14:textFill>
              </w:rPr>
            </w:pPr>
            <w:bookmarkStart w:id="0" w:name="_Hlk132074563"/>
            <w:r>
              <w:rPr>
                <w:color w:val="000000" w:themeColor="text1"/>
                <w:sz w:val="21"/>
                <w:szCs w:val="21"/>
                <w14:textFill>
                  <w14:solidFill>
                    <w14:schemeClr w14:val="tx1"/>
                  </w14:solidFill>
                </w14:textFill>
              </w:rPr>
              <w:t>四川省达州市万源市沙滩镇党家坡村</w:t>
            </w:r>
            <w:bookmarkEnd w:id="0"/>
          </w:p>
        </w:tc>
        <w:tc>
          <w:tcPr>
            <w:tcW w:w="717" w:type="dxa"/>
            <w:vAlign w:val="center"/>
          </w:tcPr>
          <w:p>
            <w:pPr>
              <w:pStyle w:val="7"/>
              <w:shd w:val="clear" w:color="auto" w:fill="FFFFFF"/>
              <w:spacing w:before="0" w:beforeAutospacing="0" w:after="0" w:afterAutospacing="0" w:line="300" w:lineRule="atLeast"/>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达州市长虹红旗煤矿</w:t>
            </w:r>
          </w:p>
        </w:tc>
        <w:tc>
          <w:tcPr>
            <w:tcW w:w="646" w:type="dxa"/>
            <w:vAlign w:val="center"/>
          </w:tcPr>
          <w:p>
            <w:pPr>
              <w:pStyle w:val="7"/>
              <w:shd w:val="clear" w:color="auto" w:fill="FFFFFF"/>
              <w:spacing w:before="0" w:beforeAutospacing="0" w:after="0" w:afterAutospacing="0" w:line="300" w:lineRule="atLeast"/>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四川中正源环保技术有限公司</w:t>
            </w:r>
          </w:p>
        </w:tc>
        <w:tc>
          <w:tcPr>
            <w:tcW w:w="2268" w:type="dxa"/>
            <w:vAlign w:val="center"/>
          </w:tcPr>
          <w:p>
            <w:pPr>
              <w:pStyle w:val="7"/>
              <w:shd w:val="clear" w:color="auto" w:fill="FFFFFF"/>
              <w:spacing w:before="0" w:beforeAutospacing="0" w:after="0" w:afterAutospacing="0" w:line="300" w:lineRule="atLeast"/>
              <w:jc w:val="both"/>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项目位于</w:t>
            </w:r>
            <w:r>
              <w:rPr>
                <w:color w:val="000000" w:themeColor="text1"/>
                <w:sz w:val="21"/>
                <w:szCs w:val="21"/>
                <w14:textFill>
                  <w14:solidFill>
                    <w14:schemeClr w14:val="tx1"/>
                  </w14:solidFill>
                </w14:textFill>
              </w:rPr>
              <w:t>万源市沙滩镇党家坡村</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矿区</w:t>
            </w:r>
            <w:r>
              <w:rPr>
                <w:color w:val="000000" w:themeColor="text1"/>
                <w:sz w:val="21"/>
                <w:szCs w:val="21"/>
                <w14:textFill>
                  <w14:solidFill>
                    <w14:schemeClr w14:val="tx1"/>
                  </w14:solidFill>
                </w14:textFill>
              </w:rPr>
              <w:t>面积2.8757</w:t>
            </w:r>
            <w:r>
              <w:rPr>
                <w:rFonts w:hint="eastAsia"/>
                <w:color w:val="000000" w:themeColor="text1"/>
                <w:sz w:val="21"/>
                <w:szCs w:val="21"/>
                <w14:textFill>
                  <w14:solidFill>
                    <w14:schemeClr w14:val="tx1"/>
                  </w14:solidFill>
                </w14:textFill>
              </w:rPr>
              <w:t>平方公里</w:t>
            </w:r>
            <w:r>
              <w:rPr>
                <w:color w:val="000000" w:themeColor="text1"/>
                <w:sz w:val="21"/>
                <w:szCs w:val="21"/>
                <w14:textFill>
                  <w14:solidFill>
                    <w14:schemeClr w14:val="tx1"/>
                  </w14:solidFill>
                </w14:textFill>
              </w:rPr>
              <w:t>，开采标高+880m～+300m。开采K1、K2</w:t>
            </w:r>
            <w:r>
              <w:rPr>
                <w:rFonts w:hint="eastAsia"/>
                <w:color w:val="000000" w:themeColor="text1"/>
                <w:sz w:val="21"/>
                <w:szCs w:val="21"/>
                <w14:textFill>
                  <w14:solidFill>
                    <w14:schemeClr w14:val="tx1"/>
                  </w14:solidFill>
                </w14:textFill>
              </w:rPr>
              <w:t>及附脉</w:t>
            </w:r>
            <w:r>
              <w:rPr>
                <w:color w:val="000000" w:themeColor="text1"/>
                <w:sz w:val="21"/>
                <w:szCs w:val="21"/>
                <w14:textFill>
                  <w14:solidFill>
                    <w14:schemeClr w14:val="tx1"/>
                  </w14:solidFill>
                </w14:textFill>
              </w:rPr>
              <w:t>煤层， 升级改造</w:t>
            </w:r>
            <w:r>
              <w:rPr>
                <w:rFonts w:hint="eastAsia"/>
                <w:color w:val="000000" w:themeColor="text1"/>
                <w:sz w:val="21"/>
                <w:szCs w:val="21"/>
                <w:lang w:eastAsia="zh-CN"/>
                <w14:textFill>
                  <w14:solidFill>
                    <w14:schemeClr w14:val="tx1"/>
                  </w14:solidFill>
                </w14:textFill>
              </w:rPr>
              <w:t>主要</w:t>
            </w:r>
            <w:r>
              <w:rPr>
                <w:color w:val="000000" w:themeColor="text1"/>
                <w:sz w:val="21"/>
                <w:szCs w:val="21"/>
                <w14:textFill>
                  <w14:solidFill>
                    <w14:schemeClr w14:val="tx1"/>
                  </w14:solidFill>
                </w14:textFill>
              </w:rPr>
              <w:t>利用原工业场地，利用原建、构筑物，不涉及新增占用土地。煤产量从原有9万吨/年增加到30万吨/年。本</w:t>
            </w:r>
            <w:r>
              <w:rPr>
                <w:rFonts w:hint="eastAsia"/>
                <w:color w:val="000000" w:themeColor="text1"/>
                <w:sz w:val="21"/>
                <w:szCs w:val="21"/>
                <w14:textFill>
                  <w14:solidFill>
                    <w14:schemeClr w14:val="tx1"/>
                  </w14:solidFill>
                </w14:textFill>
              </w:rPr>
              <w:t>项目在现有工程基础上改建，</w:t>
            </w:r>
            <w:r>
              <w:rPr>
                <w:rFonts w:hint="eastAsia"/>
                <w:color w:val="000000" w:themeColor="text1"/>
                <w:sz w:val="21"/>
                <w:szCs w:val="21"/>
                <w:lang w:eastAsia="zh-CN"/>
                <w14:textFill>
                  <w14:solidFill>
                    <w14:schemeClr w14:val="tx1"/>
                  </w14:solidFill>
                </w14:textFill>
              </w:rPr>
              <w:t>包括改扩建主、副平峒、回风平峒和井巷、煤矿场、矸石临时堆场等，扩建污水处理设施，新建危废处理间。</w:t>
            </w:r>
            <w:r>
              <w:rPr>
                <w:color w:val="000000" w:themeColor="text1"/>
                <w:sz w:val="21"/>
                <w:szCs w:val="21"/>
                <w14:textFill>
                  <w14:solidFill>
                    <w14:schemeClr w14:val="tx1"/>
                  </w14:solidFill>
                </w14:textFill>
              </w:rPr>
              <w:t>总投资4842.25万元，新增环保投资326万元</w:t>
            </w:r>
            <w:r>
              <w:rPr>
                <w:rFonts w:hint="eastAsia"/>
                <w:color w:val="000000" w:themeColor="text1"/>
                <w:sz w:val="21"/>
                <w:szCs w:val="21"/>
                <w14:textFill>
                  <w14:solidFill>
                    <w14:schemeClr w14:val="tx1"/>
                  </w14:solidFill>
                </w14:textFill>
              </w:rPr>
              <w:t>。</w:t>
            </w:r>
          </w:p>
        </w:tc>
        <w:tc>
          <w:tcPr>
            <w:tcW w:w="8080" w:type="dxa"/>
            <w:vAlign w:val="center"/>
          </w:tcPr>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一、施工期环境保护措施</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（1）废气</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施工扬尘通过洒水抑尘、施工车辆实行限速行驶、散料堆场采用水喷淋防尘，或用蓬布遮盖散料堆等措施</w:t>
            </w:r>
            <w:r>
              <w:rPr>
                <w:rFonts w:hint="eastAsia"/>
                <w:color w:val="000000" w:themeColor="text1"/>
                <w:sz w:val="21"/>
                <w:szCs w:val="21"/>
                <w:lang w:eastAsia="zh-CN"/>
                <w14:textFill>
                  <w14:solidFill>
                    <w14:schemeClr w14:val="tx1"/>
                  </w14:solidFill>
                </w14:textFill>
              </w:rPr>
              <w:t>减少扬尘污染</w:t>
            </w:r>
            <w:r>
              <w:rPr>
                <w:rFonts w:hint="eastAsia"/>
                <w:color w:val="000000" w:themeColor="text1"/>
                <w:sz w:val="21"/>
                <w:szCs w:val="21"/>
                <w14:textFill>
                  <w14:solidFill>
                    <w14:schemeClr w14:val="tx1"/>
                  </w14:solidFill>
                </w14:textFill>
              </w:rPr>
              <w:t>。</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（2）废水</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施工废水经沉淀后回用，</w:t>
            </w:r>
            <w:r>
              <w:rPr>
                <w:color w:val="000000" w:themeColor="text1"/>
                <w:sz w:val="21"/>
                <w:szCs w:val="21"/>
                <w14:textFill>
                  <w14:solidFill>
                    <w14:schemeClr w14:val="tx1"/>
                  </w14:solidFill>
                </w14:textFill>
              </w:rPr>
              <w:t>生活污水经一体化污水处理装置</w:t>
            </w:r>
            <w:r>
              <w:rPr>
                <w:rFonts w:hint="eastAsia"/>
                <w:color w:val="000000" w:themeColor="text1"/>
                <w:sz w:val="21"/>
                <w:szCs w:val="21"/>
                <w:lang w:eastAsia="zh-CN"/>
                <w14:textFill>
                  <w14:solidFill>
                    <w14:schemeClr w14:val="tx1"/>
                  </w14:solidFill>
                </w14:textFill>
              </w:rPr>
              <w:t>收集</w:t>
            </w:r>
            <w:r>
              <w:rPr>
                <w:color w:val="000000" w:themeColor="text1"/>
                <w:sz w:val="21"/>
                <w:szCs w:val="21"/>
                <w14:textFill>
                  <w14:solidFill>
                    <w14:schemeClr w14:val="tx1"/>
                  </w14:solidFill>
                </w14:textFill>
              </w:rPr>
              <w:t>处理。</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（3）噪声</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尽量选用低噪声设备，优化平面布局，使高噪声设备远离环境敏感点。合理安排施工时间，禁止夜间施工；合理安排施工工序，避免大量高噪声设备同时施工。运输车辆限速行驶，控制汽车鸣笛。</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（4）固废</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巷道掘进矸石尽量回填采空区，不能回填采空区的矸石暂存至矸石临时堆场，</w:t>
            </w:r>
            <w:r>
              <w:rPr>
                <w:rFonts w:hint="eastAsia"/>
                <w:color w:val="000000" w:themeColor="text1"/>
                <w:sz w:val="21"/>
                <w:szCs w:val="21"/>
                <w:lang w:eastAsia="zh-CN"/>
                <w14:textFill>
                  <w14:solidFill>
                    <w14:schemeClr w14:val="tx1"/>
                  </w14:solidFill>
                </w14:textFill>
              </w:rPr>
              <w:t>定期外运综合利用</w:t>
            </w:r>
            <w:r>
              <w:rPr>
                <w:rFonts w:hint="eastAsia"/>
                <w:color w:val="000000" w:themeColor="text1"/>
                <w:sz w:val="21"/>
                <w:szCs w:val="21"/>
                <w14:textFill>
                  <w14:solidFill>
                    <w14:schemeClr w14:val="tx1"/>
                  </w14:solidFill>
                </w14:textFill>
              </w:rPr>
              <w:t>；建筑垃圾尽量回收利用，不能回收的应运往城乡规划部门指定的建筑垃圾堆放场；生活垃圾经集中收集后由环卫部门统一清运处理。</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（5）生态治理措施</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项目不新增占地，在现有范围内建设，严格控制施工范围；施工结束后，及时进行场地绿化恢复。</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二、营运期环境保护措施</w:t>
            </w:r>
            <w:bookmarkStart w:id="3" w:name="_GoBack"/>
            <w:bookmarkEnd w:id="3"/>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）废气</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储煤场、矸石中转场采用全封闭式堆场，采用顶部遮盖、三面围挡的半封闭式结构，并设置防尘水雾喷洒系统，在堆场内设置喷雾降尘装置，防止粉尘污染；井下开采过程通过设置喷雾装置，湿法作业，对作业面进行喷雾洒水降尘等措施；运输车辆采用篷布遮盖密闭运输，车辆出场进行冲洗，加强对道路清扫、洒水降尘；食堂油烟经油烟净化装置处理后引至屋顶排放。</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）废水</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改</w:t>
            </w:r>
            <w:r>
              <w:rPr>
                <w:rFonts w:hint="eastAsia"/>
                <w:color w:val="000000" w:themeColor="text1"/>
                <w:sz w:val="21"/>
                <w:szCs w:val="21"/>
                <w:lang w:eastAsia="zh-CN"/>
                <w14:textFill>
                  <w14:solidFill>
                    <w14:schemeClr w14:val="tx1"/>
                  </w14:solidFill>
                </w14:textFill>
              </w:rPr>
              <w:t>扩</w:t>
            </w:r>
            <w:r>
              <w:rPr>
                <w:color w:val="000000" w:themeColor="text1"/>
                <w:sz w:val="21"/>
                <w:szCs w:val="21"/>
                <w14:textFill>
                  <w14:solidFill>
                    <w14:schemeClr w14:val="tx1"/>
                  </w14:solidFill>
                </w14:textFill>
              </w:rPr>
              <w:t>建现有污水处理站规模</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井下矿井水处理采用穿孔旋流反应+斜管沉淀+无阀滤池工艺，井下采煤水水经处理后达到《地表水环境质量标准》III水质标准要求及含盐量低于1000mg/L标准限值要求，部分作为采矿用水回用（井下和地面的消防、防尘用水），剩余部分达标</w:t>
            </w:r>
            <w:r>
              <w:rPr>
                <w:rFonts w:hint="eastAsia"/>
                <w:color w:val="000000" w:themeColor="text1"/>
                <w:sz w:val="21"/>
                <w:szCs w:val="21"/>
                <w14:textFill>
                  <w14:solidFill>
                    <w14:schemeClr w14:val="tx1"/>
                  </w14:solidFill>
                </w14:textFill>
              </w:rPr>
              <w:t>排放至白沙河。</w:t>
            </w:r>
          </w:p>
          <w:p>
            <w:pPr>
              <w:pStyle w:val="7"/>
              <w:shd w:val="clear" w:color="auto" w:fill="FFFFFF"/>
              <w:spacing w:before="0" w:beforeAutospacing="0" w:after="0" w:afterAutospacing="0"/>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生活污水采用以“A</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/O+二沉池+消毒”为核心的一体化污水处理工艺，生活污水</w:t>
            </w:r>
            <w:r>
              <w:rPr>
                <w:color w:val="000000" w:themeColor="text1"/>
                <w:sz w:val="21"/>
                <w:szCs w:val="21"/>
                <w14:textFill>
                  <w14:solidFill>
                    <w14:schemeClr w14:val="tx1"/>
                  </w14:solidFill>
                </w14:textFill>
              </w:rPr>
              <w:t>经一体化生化污水处理站处理后达到《城市污水再生利用城市杂用水水质》（GB/T18920-2002）中城镇杂用水水质（绿化用水）标准，回用于矿井矿区绿化或洒水，不外排。</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（3）噪声</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选用低噪声设备，合理布局工业场地，同时对各类设备设置减振基础；通风机安装减振器，风道安装消声器；压风机等高噪声设备置于室内，利用建筑物隔声；</w:t>
            </w:r>
            <w:r>
              <w:rPr>
                <w:color w:val="000000" w:themeColor="text1"/>
                <w:sz w:val="21"/>
                <w:szCs w:val="21"/>
                <w14:textFill>
                  <w14:solidFill>
                    <w14:schemeClr w14:val="tx1"/>
                  </w14:solidFill>
                </w14:textFill>
              </w:rPr>
              <w:t>加强运煤车辆运输管理，合理安排运输时间，</w:t>
            </w:r>
            <w:r>
              <w:rPr>
                <w:rFonts w:hint="eastAsia"/>
                <w:color w:val="000000" w:themeColor="text1"/>
                <w:sz w:val="21"/>
                <w:szCs w:val="21"/>
                <w14:textFill>
                  <w14:solidFill>
                    <w14:schemeClr w14:val="tx1"/>
                  </w14:solidFill>
                </w14:textFill>
              </w:rPr>
              <w:t>在</w:t>
            </w:r>
            <w:r>
              <w:rPr>
                <w:color w:val="000000" w:themeColor="text1"/>
                <w:sz w:val="21"/>
                <w:szCs w:val="21"/>
                <w14:textFill>
                  <w14:solidFill>
                    <w14:schemeClr w14:val="tx1"/>
                  </w14:solidFill>
                </w14:textFill>
              </w:rPr>
              <w:t>经过居民区时严禁鸣笛。</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（4）固体废物</w:t>
            </w:r>
          </w:p>
          <w:p>
            <w:pPr>
              <w:pStyle w:val="7"/>
              <w:shd w:val="clear" w:color="auto" w:fill="FFFFFF"/>
              <w:spacing w:before="0" w:beforeAutospacing="0" w:after="0" w:afterAutospacing="0" w:line="300" w:lineRule="atLeast"/>
              <w:ind w:firstLine="405"/>
              <w:jc w:val="both"/>
              <w:rPr>
                <w:rFonts w:ascii="Times New Roman" w:hAnsi="Times New Roman" w:cs="Times New Roman"/>
              </w:rPr>
            </w:pPr>
            <w:r>
              <w:rPr>
                <w:rFonts w:hint="eastAsia"/>
                <w:color w:val="000000" w:themeColor="text1"/>
                <w:sz w:val="21"/>
                <w:szCs w:val="21"/>
                <w14:textFill>
                  <w14:solidFill>
                    <w14:schemeClr w14:val="tx1"/>
                  </w14:solidFill>
                </w14:textFill>
              </w:rPr>
              <w:t>矸石运至四川磊鑫实业有限公司制作水泥参合料使用，生活污水处理系统污泥、木工边角和生活垃圾定期交由环卫部门处理。</w:t>
            </w:r>
            <w:r>
              <w:rPr>
                <w:color w:val="000000" w:themeColor="text1"/>
                <w:sz w:val="21"/>
                <w:szCs w:val="21"/>
                <w14:textFill>
                  <w14:solidFill>
                    <w14:schemeClr w14:val="tx1"/>
                  </w14:solidFill>
                </w14:textFill>
              </w:rPr>
              <w:t>煤泥掺入原煤外售，</w:t>
            </w:r>
            <w:r>
              <w:rPr>
                <w:rFonts w:hint="eastAsia"/>
                <w:color w:val="000000" w:themeColor="text1"/>
                <w:sz w:val="21"/>
                <w:szCs w:val="21"/>
                <w14:textFill>
                  <w14:solidFill>
                    <w14:schemeClr w14:val="tx1"/>
                  </w14:solidFill>
                </w14:textFill>
              </w:rPr>
              <w:t>废矿灯及废</w:t>
            </w:r>
            <w:r>
              <w:rPr>
                <w:rFonts w:hint="eastAsia"/>
                <w:color w:val="000000" w:themeColor="text1"/>
                <w:sz w:val="21"/>
                <w:szCs w:val="21"/>
                <w:lang w:eastAsia="zh-CN"/>
                <w14:textFill>
                  <w14:solidFill>
                    <w14:schemeClr w14:val="tx1"/>
                  </w14:solidFill>
                </w14:textFill>
              </w:rPr>
              <w:t>锂</w:t>
            </w:r>
            <w:r>
              <w:rPr>
                <w:rFonts w:hint="eastAsia"/>
                <w:color w:val="000000" w:themeColor="text1"/>
                <w:sz w:val="21"/>
                <w:szCs w:val="21"/>
                <w14:textFill>
                  <w14:solidFill>
                    <w14:schemeClr w14:val="tx1"/>
                  </w14:solidFill>
                </w14:textFill>
              </w:rPr>
              <w:t>电池</w:t>
            </w:r>
            <w:r>
              <w:rPr>
                <w:rFonts w:hint="eastAsia"/>
                <w:color w:val="000000" w:themeColor="text1"/>
                <w:sz w:val="21"/>
                <w:szCs w:val="21"/>
                <w:lang w:eastAsia="zh-CN"/>
                <w14:textFill>
                  <w14:solidFill>
                    <w14:schemeClr w14:val="tx1"/>
                  </w14:solidFill>
                </w14:textFill>
              </w:rPr>
              <w:t>由厂家回收处置。</w:t>
            </w:r>
            <w:r>
              <w:rPr>
                <w:rFonts w:hint="eastAsia"/>
                <w:color w:val="000000" w:themeColor="text1"/>
                <w:sz w:val="21"/>
                <w:szCs w:val="21"/>
                <w14:textFill>
                  <w14:solidFill>
                    <w14:schemeClr w14:val="tx1"/>
                  </w14:solidFill>
                </w14:textFill>
              </w:rPr>
              <w:t>废机油、</w:t>
            </w:r>
            <w:r>
              <w:rPr>
                <w:rFonts w:hint="eastAsia"/>
                <w:color w:val="000000" w:themeColor="text1"/>
                <w:sz w:val="21"/>
                <w:szCs w:val="21"/>
                <w:lang w:eastAsia="zh-CN"/>
                <w14:textFill>
                  <w14:solidFill>
                    <w14:schemeClr w14:val="tx1"/>
                  </w14:solidFill>
                </w14:textFill>
              </w:rPr>
              <w:t>废含油手套和抹布</w:t>
            </w:r>
            <w:r>
              <w:rPr>
                <w:rFonts w:hint="eastAsia"/>
                <w:color w:val="000000" w:themeColor="text1"/>
                <w:sz w:val="21"/>
                <w:szCs w:val="21"/>
                <w14:textFill>
                  <w14:solidFill>
                    <w14:schemeClr w14:val="tx1"/>
                  </w14:solidFill>
                </w14:textFill>
              </w:rPr>
              <w:t>，暂存于危废暂存间，定期交由有资质的单位处理。</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（5）地下水</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通过坚持“源头控制、分区防治、污染监控、应急响应”的原则，对危废暂存间、矿井水处理站等采取重点防渗，防止污染地下水。通过布设地下水跟踪监测点，对区内地下水水位与水质进行动态监测，一旦发现水位和水质异常，应立刻采取有效措施，避免对周边居民生产生活用水造成影响。</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（6）生态环境影响</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项目营运期生态环境影响体现为矿区地表沉降。开采过程中，</w:t>
            </w:r>
            <w:bookmarkStart w:id="1" w:name="_Hlk132073386"/>
            <w:r>
              <w:rPr>
                <w:rFonts w:hint="eastAsia"/>
                <w:color w:val="000000" w:themeColor="text1"/>
                <w:sz w:val="21"/>
                <w:szCs w:val="21"/>
                <w14:textFill>
                  <w14:solidFill>
                    <w14:schemeClr w14:val="tx1"/>
                  </w14:solidFill>
                </w14:textFill>
              </w:rPr>
              <w:t>禁止越界、越层开采</w:t>
            </w:r>
            <w:bookmarkEnd w:id="1"/>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预留煤柱保护河流、地面主要建筑物</w:t>
            </w:r>
            <w:r>
              <w:rPr>
                <w:rFonts w:hint="eastAsia"/>
                <w:color w:val="000000" w:themeColor="text1"/>
                <w:sz w:val="21"/>
                <w:szCs w:val="21"/>
                <w14:textFill>
                  <w14:solidFill>
                    <w14:schemeClr w14:val="tx1"/>
                  </w14:solidFill>
                </w14:textFill>
              </w:rPr>
              <w:t>。对沉陷的耕地、林地进行整治恢复，及生态补偿。因地制宜地对各类施工迹地进行绿化恢复，加强对职工的监管力度，禁止乱砍乱伐、捕杀野生动物。</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三、环境风险</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环境风险主要为危险废物暂存间内油类物质泄漏、矿井涌水处理设施非正常工况下或事故排放等风险。采取的主要防范措施：危废暂存间采取重点防渗处理，并按危废管理规定落实贮存和及时转运措施，减少现场堆存量。</w:t>
            </w:r>
            <w:bookmarkStart w:id="2" w:name="_Hlk132073708"/>
            <w:r>
              <w:rPr>
                <w:rFonts w:hint="eastAsia"/>
                <w:color w:val="000000" w:themeColor="text1"/>
                <w:sz w:val="21"/>
                <w:szCs w:val="21"/>
                <w14:textFill>
                  <w14:solidFill>
                    <w14:schemeClr w14:val="tx1"/>
                  </w14:solidFill>
                </w14:textFill>
              </w:rPr>
              <w:t>矿井水处理站加强矿井水处理设施巡检，确保设备安全稳定运行，减少事故排放。</w:t>
            </w:r>
            <w:bookmarkEnd w:id="2"/>
            <w:r>
              <w:rPr>
                <w:rFonts w:hint="eastAsia"/>
                <w:color w:val="000000" w:themeColor="text1"/>
                <w:sz w:val="21"/>
                <w:szCs w:val="21"/>
                <w14:textFill>
                  <w14:solidFill>
                    <w14:schemeClr w14:val="tx1"/>
                  </w14:solidFill>
                </w14:textFill>
              </w:rPr>
              <w:t>对瓦斯进行隔爆措施，防止瓦斯聚集、引燃；加强炸药库管理，严禁火种，配备消防器材；制定环境风险应急预案，环境风险事故时及时启动并按照预案采取环境风险防范和应急处置措施。</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四、公众参与情况</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项目进行了三次网络公示、两次报纸公示及现场张贴公示，均未收到反对意见。</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五、其他部门意见</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1、四川省应急管理厅《关于核准达州市长虹红旗煤矿扩建工程项目的函》（川应急审批〔2023〕</w:t>
            </w:r>
            <w:r>
              <w:rPr>
                <w:color w:val="000000" w:themeColor="text1"/>
                <w:sz w:val="21"/>
                <w:szCs w:val="21"/>
                <w14:textFill>
                  <w14:solidFill>
                    <w14:schemeClr w14:val="tx1"/>
                  </w14:solidFill>
                </w14:textFill>
              </w:rPr>
              <w:t>27</w:t>
            </w:r>
            <w:r>
              <w:rPr>
                <w:rFonts w:hint="eastAsia"/>
                <w:color w:val="000000" w:themeColor="text1"/>
                <w:sz w:val="21"/>
                <w:szCs w:val="21"/>
                <w14:textFill>
                  <w14:solidFill>
                    <w14:schemeClr w14:val="tx1"/>
                  </w14:solidFill>
                </w14:textFill>
              </w:rPr>
              <w:t>号）；</w:t>
            </w:r>
          </w:p>
          <w:p>
            <w:pPr>
              <w:pStyle w:val="7"/>
              <w:shd w:val="clear" w:color="auto" w:fill="FFFFFF"/>
              <w:spacing w:before="0" w:beforeAutospacing="0" w:after="0" w:afterAutospacing="0" w:line="300" w:lineRule="atLeast"/>
              <w:ind w:firstLine="405"/>
              <w:jc w:val="both"/>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万源市自然资源局</w:t>
            </w:r>
            <w:r>
              <w:rPr>
                <w:rFonts w:hint="eastAsia"/>
                <w:color w:val="000000" w:themeColor="text1"/>
                <w:sz w:val="21"/>
                <w:szCs w:val="21"/>
                <w:lang w:eastAsia="zh-CN"/>
                <w14:textFill>
                  <w14:solidFill>
                    <w14:schemeClr w14:val="tx1"/>
                  </w14:solidFill>
                </w14:textFill>
              </w:rPr>
              <w:t>关于达州市长虹红旗煤矿用地情况的说明；</w:t>
            </w:r>
          </w:p>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、万源市自然资源局《关于《达州市长虹红旗煤矿矿业权基本农田影响论证报告的认定意见》（万自然资〔2022)107号）。</w:t>
            </w:r>
          </w:p>
        </w:tc>
      </w:tr>
    </w:tbl>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OTdiMjczOTliZTQ1ZGEzNTQ5YmI5OTNjY2Q2M2IifQ=="/>
  </w:docVars>
  <w:rsids>
    <w:rsidRoot w:val="50C41319"/>
    <w:rsid w:val="000F64CE"/>
    <w:rsid w:val="00276FAC"/>
    <w:rsid w:val="00337056"/>
    <w:rsid w:val="00344733"/>
    <w:rsid w:val="00357038"/>
    <w:rsid w:val="00393161"/>
    <w:rsid w:val="00520212"/>
    <w:rsid w:val="0062370C"/>
    <w:rsid w:val="00684407"/>
    <w:rsid w:val="008F4151"/>
    <w:rsid w:val="00C2634E"/>
    <w:rsid w:val="00CE6AC5"/>
    <w:rsid w:val="00D429A0"/>
    <w:rsid w:val="00D751E1"/>
    <w:rsid w:val="00E91A0A"/>
    <w:rsid w:val="01591F3A"/>
    <w:rsid w:val="06863BDB"/>
    <w:rsid w:val="078B0EFC"/>
    <w:rsid w:val="07DD473F"/>
    <w:rsid w:val="08643D8A"/>
    <w:rsid w:val="087D10A1"/>
    <w:rsid w:val="08B65EDB"/>
    <w:rsid w:val="0ADC6DFF"/>
    <w:rsid w:val="0BE46AD6"/>
    <w:rsid w:val="0C6702D8"/>
    <w:rsid w:val="101F16FF"/>
    <w:rsid w:val="111F7DDE"/>
    <w:rsid w:val="221100E0"/>
    <w:rsid w:val="23A5021D"/>
    <w:rsid w:val="253634F0"/>
    <w:rsid w:val="27EE00B2"/>
    <w:rsid w:val="28724840"/>
    <w:rsid w:val="295834E4"/>
    <w:rsid w:val="3500705A"/>
    <w:rsid w:val="35BD150D"/>
    <w:rsid w:val="3A730FAE"/>
    <w:rsid w:val="3BCD02B3"/>
    <w:rsid w:val="3EC534C3"/>
    <w:rsid w:val="3EDF5D33"/>
    <w:rsid w:val="44AB315B"/>
    <w:rsid w:val="4715221E"/>
    <w:rsid w:val="4B3519D1"/>
    <w:rsid w:val="4BAA734D"/>
    <w:rsid w:val="4FFC2ABD"/>
    <w:rsid w:val="50C41319"/>
    <w:rsid w:val="57580F21"/>
    <w:rsid w:val="57C645A8"/>
    <w:rsid w:val="59245D88"/>
    <w:rsid w:val="65E03E93"/>
    <w:rsid w:val="66EC3434"/>
    <w:rsid w:val="6C6121CE"/>
    <w:rsid w:val="6C691082"/>
    <w:rsid w:val="6C9F2CF6"/>
    <w:rsid w:val="6FEF761C"/>
    <w:rsid w:val="77ADDECD"/>
    <w:rsid w:val="A0CD65F2"/>
    <w:rsid w:val="BBF63C81"/>
    <w:rsid w:val="DE5E10F3"/>
    <w:rsid w:val="E977AE54"/>
    <w:rsid w:val="EB4BE5BE"/>
    <w:rsid w:val="FE7B4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rFonts w:ascii="等线" w:hAnsi="等线" w:eastAsia="等线"/>
      <w:b/>
      <w:kern w:val="44"/>
      <w:sz w:val="44"/>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360" w:lineRule="auto"/>
    </w:pPr>
    <w:rPr>
      <w:sz w:val="24"/>
    </w:rPr>
  </w:style>
  <w:style w:type="paragraph" w:styleId="4">
    <w:name w:val="Body Text Indent"/>
    <w:basedOn w:val="1"/>
    <w:link w:val="13"/>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4"/>
    <w:link w:val="14"/>
    <w:qFormat/>
    <w:uiPriority w:val="0"/>
    <w:pPr>
      <w:ind w:firstLine="420" w:firstLineChars="200"/>
    </w:p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2">
    <w:name w:val="ca-41"/>
    <w:qFormat/>
    <w:uiPriority w:val="0"/>
    <w:rPr>
      <w:rFonts w:hint="eastAsia" w:ascii="宋体" w:hAnsi="宋体" w:eastAsia="宋体"/>
      <w:sz w:val="24"/>
      <w:szCs w:val="24"/>
    </w:rPr>
  </w:style>
  <w:style w:type="character" w:customStyle="1" w:styleId="13">
    <w:name w:val="正文文本缩进 字符"/>
    <w:basedOn w:val="10"/>
    <w:link w:val="4"/>
    <w:qFormat/>
    <w:uiPriority w:val="0"/>
    <w:rPr>
      <w:kern w:val="2"/>
      <w:sz w:val="21"/>
      <w:szCs w:val="24"/>
    </w:rPr>
  </w:style>
  <w:style w:type="character" w:customStyle="1" w:styleId="14">
    <w:name w:val="正文文本首行缩进 2 字符"/>
    <w:basedOn w:val="13"/>
    <w:link w:val="8"/>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337</Words>
  <Characters>1924</Characters>
  <Lines>16</Lines>
  <Paragraphs>4</Paragraphs>
  <TotalTime>1</TotalTime>
  <ScaleCrop>false</ScaleCrop>
  <LinksUpToDate>false</LinksUpToDate>
  <CharactersWithSpaces>2257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2020-12-17T15:33:00Z</dcterms:created>
  <dc:creator>木林之风@</dc:creator>
  <cp:lastModifiedBy>user</cp:lastModifiedBy>
  <dcterms:modified xsi:type="dcterms:W3CDTF">2023-04-14T11:28:18Z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27C024F0D92742ABA1BF60F1025BF5B6</vt:lpwstr>
  </property>
</Properties>
</file>