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709"/>
        <w:gridCol w:w="709"/>
        <w:gridCol w:w="1134"/>
        <w:gridCol w:w="1984"/>
        <w:gridCol w:w="7750"/>
      </w:tblGrid>
      <w:tr w14:paraId="3F53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675" w:type="dxa"/>
            <w:vAlign w:val="center"/>
          </w:tcPr>
          <w:p w14:paraId="69357EEA">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1134" w:type="dxa"/>
            <w:vAlign w:val="center"/>
          </w:tcPr>
          <w:p w14:paraId="27552DF3">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项目名称</w:t>
            </w:r>
          </w:p>
        </w:tc>
        <w:tc>
          <w:tcPr>
            <w:tcW w:w="709" w:type="dxa"/>
            <w:vAlign w:val="center"/>
          </w:tcPr>
          <w:p w14:paraId="0D252ECE">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建设地点</w:t>
            </w:r>
          </w:p>
        </w:tc>
        <w:tc>
          <w:tcPr>
            <w:tcW w:w="709" w:type="dxa"/>
            <w:vAlign w:val="center"/>
          </w:tcPr>
          <w:p w14:paraId="7EF7C497">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建设单位</w:t>
            </w:r>
          </w:p>
        </w:tc>
        <w:tc>
          <w:tcPr>
            <w:tcW w:w="1134" w:type="dxa"/>
            <w:vAlign w:val="center"/>
          </w:tcPr>
          <w:p w14:paraId="1AAE3438">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环境影响评价机构</w:t>
            </w:r>
          </w:p>
        </w:tc>
        <w:tc>
          <w:tcPr>
            <w:tcW w:w="1984" w:type="dxa"/>
            <w:vAlign w:val="center"/>
          </w:tcPr>
          <w:p w14:paraId="237F3932">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项目概况</w:t>
            </w:r>
          </w:p>
        </w:tc>
        <w:tc>
          <w:tcPr>
            <w:tcW w:w="7750" w:type="dxa"/>
            <w:vAlign w:val="center"/>
          </w:tcPr>
          <w:p w14:paraId="76CB201D">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主要环境影响及预防或者减轻不良环境影响的对策和措施</w:t>
            </w:r>
          </w:p>
        </w:tc>
      </w:tr>
      <w:tr w14:paraId="6FDB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5" w:type="dxa"/>
            <w:vAlign w:val="center"/>
          </w:tcPr>
          <w:p w14:paraId="261436F3">
            <w:pPr>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1134" w:type="dxa"/>
            <w:vAlign w:val="center"/>
          </w:tcPr>
          <w:p w14:paraId="339555E4">
            <w:pPr>
              <w:jc w:val="center"/>
              <w:rPr>
                <w:rFonts w:hint="default" w:ascii="Times New Roman" w:hAnsi="Times New Roman" w:eastAsia="方正仿宋_GBK" w:cs="Times New Roman"/>
              </w:rPr>
            </w:pPr>
            <w:r>
              <w:rPr>
                <w:rFonts w:hint="default" w:ascii="Times New Roman" w:hAnsi="Times New Roman" w:eastAsia="方正仿宋_GBK" w:cs="Times New Roman"/>
              </w:rPr>
              <w:t>达州市骏成矿业有限公司安民寨灰岩矿130万吨</w:t>
            </w:r>
            <w:r>
              <w:rPr>
                <w:rFonts w:hint="eastAsia" w:ascii="Times New Roman" w:hAnsi="Times New Roman" w:eastAsia="方正仿宋_GBK" w:cs="Times New Roman"/>
                <w:lang w:val="en-US" w:eastAsia="zh-CN"/>
              </w:rPr>
              <w:t>/</w:t>
            </w:r>
            <w:bookmarkStart w:id="0" w:name="_GoBack"/>
            <w:bookmarkEnd w:id="0"/>
            <w:r>
              <w:rPr>
                <w:rFonts w:hint="default" w:ascii="Times New Roman" w:hAnsi="Times New Roman" w:eastAsia="方正仿宋_GBK" w:cs="Times New Roman"/>
              </w:rPr>
              <w:t>年新建项目</w:t>
            </w:r>
          </w:p>
        </w:tc>
        <w:tc>
          <w:tcPr>
            <w:tcW w:w="709" w:type="dxa"/>
            <w:vAlign w:val="center"/>
          </w:tcPr>
          <w:p w14:paraId="2257E787">
            <w:pPr>
              <w:jc w:val="center"/>
              <w:rPr>
                <w:rFonts w:hint="default" w:ascii="Times New Roman" w:hAnsi="Times New Roman" w:eastAsia="方正仿宋_GBK" w:cs="Times New Roman"/>
              </w:rPr>
            </w:pPr>
            <w:r>
              <w:rPr>
                <w:rFonts w:hint="default" w:ascii="Times New Roman" w:hAnsi="Times New Roman" w:eastAsia="方正仿宋_GBK" w:cs="Times New Roman"/>
              </w:rPr>
              <w:t>达州东部经开区麻柳镇葫芦社区</w:t>
            </w:r>
          </w:p>
          <w:p w14:paraId="486E5E06">
            <w:pPr>
              <w:jc w:val="center"/>
              <w:rPr>
                <w:rFonts w:hint="default" w:ascii="Times New Roman" w:hAnsi="Times New Roman" w:eastAsia="方正仿宋_GBK" w:cs="Times New Roman"/>
              </w:rPr>
            </w:pPr>
          </w:p>
        </w:tc>
        <w:tc>
          <w:tcPr>
            <w:tcW w:w="709" w:type="dxa"/>
            <w:vAlign w:val="center"/>
          </w:tcPr>
          <w:p w14:paraId="1524E35E">
            <w:pPr>
              <w:rPr>
                <w:rFonts w:hint="default" w:ascii="Times New Roman" w:hAnsi="Times New Roman" w:eastAsia="方正仿宋_GBK" w:cs="Times New Roman"/>
              </w:rPr>
            </w:pPr>
            <w:r>
              <w:rPr>
                <w:rFonts w:hint="default" w:ascii="Times New Roman" w:hAnsi="Times New Roman" w:eastAsia="方正仿宋_GBK" w:cs="Times New Roman"/>
              </w:rPr>
              <w:t>达州市骏成矿业有限公司</w:t>
            </w:r>
          </w:p>
          <w:p w14:paraId="06C8D9DE">
            <w:pPr>
              <w:rPr>
                <w:rFonts w:hint="default" w:ascii="Times New Roman" w:hAnsi="Times New Roman" w:eastAsia="方正仿宋_GBK" w:cs="Times New Roman"/>
              </w:rPr>
            </w:pPr>
          </w:p>
        </w:tc>
        <w:tc>
          <w:tcPr>
            <w:tcW w:w="1134" w:type="dxa"/>
            <w:vAlign w:val="center"/>
          </w:tcPr>
          <w:p w14:paraId="1A42AAEF">
            <w:pPr>
              <w:jc w:val="center"/>
              <w:rPr>
                <w:rFonts w:hint="default" w:ascii="Times New Roman" w:hAnsi="Times New Roman" w:eastAsia="方正仿宋_GBK" w:cs="Times New Roman"/>
              </w:rPr>
            </w:pPr>
            <w:r>
              <w:rPr>
                <w:rFonts w:hint="default" w:ascii="Times New Roman" w:hAnsi="Times New Roman" w:eastAsia="方正仿宋_GBK" w:cs="Times New Roman"/>
              </w:rPr>
              <w:t>四川省献华环境科技有限公司</w:t>
            </w:r>
          </w:p>
        </w:tc>
        <w:tc>
          <w:tcPr>
            <w:tcW w:w="1984" w:type="dxa"/>
            <w:vAlign w:val="center"/>
          </w:tcPr>
          <w:p w14:paraId="2490B19A">
            <w:pPr>
              <w:rPr>
                <w:rFonts w:hint="default" w:ascii="Times New Roman" w:hAnsi="Times New Roman" w:eastAsia="方正仿宋_GBK" w:cs="Times New Roman"/>
              </w:rPr>
            </w:pPr>
            <w:r>
              <w:rPr>
                <w:rFonts w:hint="default" w:ascii="Times New Roman" w:hAnsi="Times New Roman" w:eastAsia="方正仿宋_GBK" w:cs="Times New Roman"/>
                <w:kern w:val="0"/>
              </w:rPr>
              <w:t>本项目矿区面积0.3355km</w:t>
            </w:r>
            <w:r>
              <w:rPr>
                <w:rFonts w:hint="default" w:ascii="Times New Roman" w:hAnsi="Times New Roman" w:eastAsia="方正仿宋_GBK" w:cs="Times New Roman"/>
                <w:kern w:val="0"/>
                <w:vertAlign w:val="superscript"/>
              </w:rPr>
              <w:t>2</w:t>
            </w:r>
            <w:r>
              <w:rPr>
                <w:rFonts w:hint="default" w:ascii="Times New Roman" w:hAnsi="Times New Roman" w:eastAsia="方正仿宋_GBK" w:cs="Times New Roman"/>
                <w:kern w:val="0"/>
              </w:rPr>
              <w:t>，由12个拐点圈闭，开采标高为+774m～+555m，采用自上而下水平分层台阶开采的方案，爆破作业由专业爆破公司负责，设计年开采建筑石料用灰岩130万吨。</w:t>
            </w:r>
            <w:r>
              <w:rPr>
                <w:rFonts w:hint="default" w:ascii="Times New Roman" w:hAnsi="Times New Roman" w:eastAsia="方正仿宋_GBK" w:cs="Times New Roman"/>
              </w:rPr>
              <w:t>建设两个矿石加工厂，1#加工厂设计年加工矿石90万吨，为干式加工工艺；2#加工厂设计年加工矿石40万吨，为湿式加工工艺。所有砂石产品作为建筑材料外售。</w:t>
            </w:r>
          </w:p>
        </w:tc>
        <w:tc>
          <w:tcPr>
            <w:tcW w:w="7750" w:type="dxa"/>
            <w:vAlign w:val="center"/>
          </w:tcPr>
          <w:p w14:paraId="1C8525AD">
            <w:pPr>
              <w:numPr>
                <w:ilvl w:val="0"/>
                <w:numId w:val="0"/>
              </w:numPr>
              <w:ind w:firstLine="422" w:firstLineChars="200"/>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一</w:t>
            </w:r>
            <w:r>
              <w:rPr>
                <w:rFonts w:hint="default" w:ascii="Times New Roman" w:hAnsi="Times New Roman" w:eastAsia="方正仿宋_GBK" w:cs="Times New Roman"/>
                <w:b/>
                <w:bCs/>
                <w:i w:val="0"/>
                <w:iCs w:val="0"/>
                <w:color w:val="000000"/>
                <w:kern w:val="0"/>
                <w:sz w:val="21"/>
                <w:szCs w:val="21"/>
                <w:u w:val="none"/>
                <w:lang w:val="en-US" w:eastAsia="zh-CN" w:bidi="ar"/>
              </w:rPr>
              <w:t>、施工期主要环境保护措施</w:t>
            </w:r>
          </w:p>
          <w:p w14:paraId="318E49F6">
            <w:pPr>
              <w:ind w:firstLine="422" w:firstLineChars="200"/>
              <w:jc w:val="left"/>
              <w:rPr>
                <w:rFonts w:hint="default" w:ascii="Times New Roman" w:hAnsi="Times New Roman" w:eastAsia="方正仿宋_GBK" w:cs="Times New Roman"/>
                <w:b/>
                <w:bC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73E32E1C">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default" w:ascii="Times New Roman" w:hAnsi="Times New Roman" w:eastAsia="方正仿宋_GBK" w:cs="Times New Roman"/>
              </w:rPr>
            </w:pPr>
            <w:r>
              <w:rPr>
                <w:rFonts w:hint="eastAsia" w:ascii="Times New Roman" w:hAnsi="Times New Roman" w:eastAsia="方正仿宋_GBK" w:cs="Times New Roman"/>
                <w:bCs/>
                <w:szCs w:val="21"/>
                <w:lang w:val="en-US" w:eastAsia="zh-CN"/>
              </w:rPr>
              <w:t>施工期严格落实“六必须”、“六不准”规定；现场</w:t>
            </w:r>
            <w:r>
              <w:rPr>
                <w:rFonts w:hint="default" w:ascii="Times New Roman" w:hAnsi="Times New Roman" w:eastAsia="方正仿宋_GBK" w:cs="Times New Roman"/>
                <w:bCs/>
                <w:szCs w:val="21"/>
              </w:rPr>
              <w:t>采用</w:t>
            </w:r>
            <w:r>
              <w:rPr>
                <w:rFonts w:hint="eastAsia" w:ascii="Times New Roman" w:hAnsi="Times New Roman" w:eastAsia="方正仿宋_GBK" w:cs="Times New Roman"/>
                <w:bCs/>
                <w:szCs w:val="21"/>
                <w:lang w:val="en-US" w:eastAsia="zh-CN"/>
              </w:rPr>
              <w:t>设置</w:t>
            </w:r>
            <w:r>
              <w:rPr>
                <w:rFonts w:hint="default" w:ascii="Times New Roman" w:hAnsi="Times New Roman" w:eastAsia="方正仿宋_GBK" w:cs="Times New Roman"/>
                <w:bCs/>
                <w:szCs w:val="21"/>
              </w:rPr>
              <w:t>围挡、</w:t>
            </w:r>
            <w:r>
              <w:rPr>
                <w:rFonts w:hint="eastAsia" w:ascii="Times New Roman" w:hAnsi="Times New Roman" w:eastAsia="方正仿宋_GBK" w:cs="Times New Roman"/>
                <w:bCs/>
                <w:szCs w:val="21"/>
                <w:lang w:val="en-US" w:eastAsia="zh-CN"/>
              </w:rPr>
              <w:t>湿法降尘、场地</w:t>
            </w:r>
            <w:r>
              <w:rPr>
                <w:rFonts w:hint="default" w:ascii="Times New Roman" w:hAnsi="Times New Roman" w:eastAsia="方正仿宋_GBK" w:cs="Times New Roman"/>
                <w:bCs/>
                <w:szCs w:val="21"/>
              </w:rPr>
              <w:t>硬化、运输车辆密闭运输</w:t>
            </w:r>
            <w:r>
              <w:rPr>
                <w:rFonts w:hint="eastAsia" w:ascii="Times New Roman" w:hAnsi="Times New Roman" w:eastAsia="方正仿宋_GBK" w:cs="Times New Roman"/>
                <w:bCs/>
                <w:szCs w:val="21"/>
                <w:lang w:val="en-US" w:eastAsia="zh-CN"/>
              </w:rPr>
              <w:t>、进出口设置车辆冲洗平台</w:t>
            </w:r>
            <w:r>
              <w:rPr>
                <w:rFonts w:hint="default" w:ascii="Times New Roman" w:hAnsi="Times New Roman" w:eastAsia="方正仿宋_GBK" w:cs="Times New Roman"/>
                <w:bCs/>
                <w:szCs w:val="21"/>
              </w:rPr>
              <w:t>等措施。</w:t>
            </w:r>
          </w:p>
          <w:p w14:paraId="644B3DF2">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1FEF7406">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default" w:ascii="Times New Roman" w:hAnsi="Times New Roman" w:eastAsia="方正仿宋_GBK" w:cs="Times New Roman"/>
                <w:bCs/>
                <w:szCs w:val="21"/>
                <w:lang w:val="en-US" w:eastAsia="zh-CN"/>
              </w:rPr>
            </w:pPr>
            <w:r>
              <w:rPr>
                <w:rFonts w:hint="default" w:ascii="Times New Roman" w:hAnsi="Times New Roman" w:eastAsia="方正仿宋_GBK" w:cs="Times New Roman"/>
                <w:bCs/>
                <w:szCs w:val="21"/>
              </w:rPr>
              <w:t>施工废水经收集沉淀</w:t>
            </w:r>
            <w:r>
              <w:rPr>
                <w:rFonts w:hint="eastAsia" w:ascii="Times New Roman" w:hAnsi="Times New Roman" w:eastAsia="方正仿宋_GBK" w:cs="Times New Roman"/>
                <w:bCs/>
                <w:szCs w:val="21"/>
                <w:lang w:val="en-US" w:eastAsia="zh-CN"/>
              </w:rPr>
              <w:t>后</w:t>
            </w:r>
            <w:r>
              <w:rPr>
                <w:rFonts w:hint="default" w:ascii="Times New Roman" w:hAnsi="Times New Roman" w:eastAsia="方正仿宋_GBK" w:cs="Times New Roman"/>
                <w:bCs/>
                <w:szCs w:val="21"/>
              </w:rPr>
              <w:t>回用作场地施工用水，不外排</w:t>
            </w:r>
            <w:r>
              <w:rPr>
                <w:rFonts w:hint="eastAsia" w:ascii="Times New Roman" w:hAnsi="Times New Roman" w:eastAsia="方正仿宋_GBK" w:cs="Times New Roman"/>
                <w:bCs/>
                <w:szCs w:val="21"/>
                <w:lang w:eastAsia="zh-CN"/>
              </w:rPr>
              <w:t>；</w:t>
            </w:r>
            <w:r>
              <w:rPr>
                <w:rFonts w:hint="eastAsia" w:ascii="Times New Roman" w:hAnsi="Times New Roman" w:eastAsia="方正仿宋_GBK" w:cs="Times New Roman"/>
                <w:bCs/>
                <w:szCs w:val="21"/>
                <w:lang w:val="en-US" w:eastAsia="zh-CN"/>
              </w:rPr>
              <w:t>生活污水经预处理池处理后拉运至附近污水处理厂处理。</w:t>
            </w:r>
          </w:p>
          <w:p w14:paraId="37488E30">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5AF82F04">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优化施工场地布置，选用低噪声施工机械设备；合理安排施工时间，禁止夜间（22:00~6:00）施工；文明施工，装卸、搬运材料等严禁抛掷，做到轻拿轻放；场内运输车辆实施限速、禁止鸣笛。</w:t>
            </w:r>
          </w:p>
          <w:p w14:paraId="54FD5E34">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7DBCB5AF">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eastAsia" w:ascii="Times New Roman" w:hAnsi="Times New Roman" w:eastAsia="方正仿宋_GBK" w:cs="Times New Roman"/>
                <w:bCs/>
                <w:szCs w:val="21"/>
                <w:lang w:eastAsia="zh-CN"/>
              </w:rPr>
            </w:pPr>
            <w:r>
              <w:rPr>
                <w:rFonts w:hint="default" w:ascii="Times New Roman" w:hAnsi="Times New Roman" w:eastAsia="方正仿宋_GBK" w:cs="Times New Roman"/>
                <w:bCs/>
                <w:szCs w:val="21"/>
              </w:rPr>
              <w:t>施工期可回收利用的建筑垃圾应回收利用，其他不能回收利用的建筑垃圾及时清运至政府指定的建筑垃圾弃渣场处置；生活垃圾</w:t>
            </w:r>
            <w:r>
              <w:rPr>
                <w:rFonts w:hint="default" w:ascii="Times New Roman" w:hAnsi="Times New Roman" w:eastAsia="方正仿宋_GBK" w:cs="Times New Roman"/>
                <w:bCs/>
                <w:szCs w:val="21"/>
                <w:lang w:val="en-US" w:eastAsia="zh-CN"/>
              </w:rPr>
              <w:t>统一运至附近场镇的生活垃圾收集点</w:t>
            </w:r>
            <w:r>
              <w:rPr>
                <w:rFonts w:hint="eastAsia" w:ascii="Times New Roman" w:hAnsi="Times New Roman" w:eastAsia="方正仿宋_GBK" w:cs="Times New Roman"/>
                <w:szCs w:val="21"/>
                <w:lang w:eastAsia="zh-CN"/>
              </w:rPr>
              <w:t>。</w:t>
            </w:r>
          </w:p>
          <w:p w14:paraId="4EB744A5">
            <w:pPr>
              <w:keepNext w:val="0"/>
              <w:keepLines w:val="0"/>
              <w:pageBreakBefore w:val="0"/>
              <w:widowControl/>
              <w:numPr>
                <w:ilvl w:val="0"/>
                <w:numId w:val="0"/>
              </w:numPr>
              <w:kinsoku/>
              <w:overflowPunct/>
              <w:topLinePunct w:val="0"/>
              <w:autoSpaceDE/>
              <w:autoSpaceDN/>
              <w:bidi w:val="0"/>
              <w:adjustRightInd/>
              <w:snapToGrid/>
              <w:spacing w:after="0" w:line="240" w:lineRule="auto"/>
              <w:ind w:left="0" w:leftChars="0" w:firstLine="422" w:firstLineChars="200"/>
              <w:jc w:val="both"/>
              <w:textAlignment w:val="auto"/>
              <w:rPr>
                <w:rFonts w:hint="default" w:ascii="Times New Roman" w:hAnsi="Times New Roman" w:eastAsia="方正仿宋_GBK" w:cs="Times New Roman"/>
                <w:b/>
                <w:bCs w:val="0"/>
                <w:kern w:val="0"/>
                <w:sz w:val="21"/>
                <w:szCs w:val="21"/>
                <w:lang w:val="en-US" w:eastAsia="zh-CN"/>
              </w:rPr>
            </w:pPr>
            <w:r>
              <w:rPr>
                <w:rFonts w:hint="default" w:ascii="Times New Roman" w:hAnsi="Times New Roman" w:eastAsia="方正仿宋_GBK" w:cs="Times New Roman"/>
                <w:b/>
                <w:bCs w:val="0"/>
                <w:kern w:val="0"/>
                <w:sz w:val="21"/>
                <w:szCs w:val="21"/>
                <w:lang w:val="en-US" w:eastAsia="zh-CN" w:bidi="ar-SA"/>
              </w:rPr>
              <w:t>5、</w:t>
            </w:r>
            <w:r>
              <w:rPr>
                <w:rFonts w:hint="default" w:ascii="Times New Roman" w:hAnsi="Times New Roman" w:eastAsia="方正仿宋_GBK" w:cs="Times New Roman"/>
                <w:b/>
                <w:bCs w:val="0"/>
                <w:kern w:val="0"/>
                <w:sz w:val="21"/>
                <w:szCs w:val="21"/>
              </w:rPr>
              <w:t>生态环境</w:t>
            </w:r>
            <w:r>
              <w:rPr>
                <w:rFonts w:hint="eastAsia" w:ascii="Times New Roman" w:hAnsi="Times New Roman" w:eastAsia="方正仿宋_GBK" w:cs="Times New Roman"/>
                <w:b/>
                <w:bCs w:val="0"/>
                <w:kern w:val="0"/>
                <w:sz w:val="21"/>
                <w:szCs w:val="21"/>
                <w:lang w:val="en-US" w:eastAsia="zh-CN"/>
              </w:rPr>
              <w:t>保护措施</w:t>
            </w:r>
          </w:p>
          <w:p w14:paraId="2C94F38C">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合理安排施工工期，</w:t>
            </w:r>
            <w:r>
              <w:rPr>
                <w:rFonts w:hint="default" w:ascii="Times New Roman" w:hAnsi="Times New Roman" w:eastAsia="方正仿宋_GBK" w:cs="Times New Roman"/>
                <w:lang w:val="en-US" w:eastAsia="zh-CN"/>
              </w:rPr>
              <w:t>避开雨季施工</w:t>
            </w:r>
            <w:r>
              <w:rPr>
                <w:rFonts w:hint="eastAsia" w:ascii="Times New Roman" w:hAnsi="Times New Roman" w:eastAsia="方正仿宋_GBK" w:cs="Times New Roman"/>
                <w:lang w:val="en-US" w:eastAsia="zh-CN"/>
              </w:rPr>
              <w:t>；优化施工方案，控制施工作业范围，作业区周围建截排水沟和沉砂池，进行边坡防护；对表土临时堆场做好覆盖和围挡；施工完成后及时清理施工现场并进行绿化。</w:t>
            </w:r>
          </w:p>
          <w:p w14:paraId="4622A434">
            <w:pPr>
              <w:numPr>
                <w:ilvl w:val="0"/>
                <w:numId w:val="0"/>
              </w:numPr>
              <w:ind w:firstLine="422" w:firstLineChars="200"/>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lang w:val="en-US" w:eastAsia="zh-CN" w:bidi="ar"/>
              </w:rPr>
              <w:t>二、</w:t>
            </w:r>
            <w:r>
              <w:rPr>
                <w:rFonts w:hint="default" w:ascii="Times New Roman" w:hAnsi="Times New Roman" w:eastAsia="方正仿宋_GBK" w:cs="Times New Roman"/>
                <w:b/>
                <w:bCs/>
                <w:i w:val="0"/>
                <w:iCs w:val="0"/>
                <w:color w:val="000000"/>
                <w:kern w:val="0"/>
                <w:sz w:val="21"/>
                <w:szCs w:val="21"/>
                <w:u w:val="none"/>
                <w:lang w:val="en-US" w:eastAsia="zh-CN" w:bidi="ar"/>
              </w:rPr>
              <w:t>运营期环境保护措施</w:t>
            </w:r>
          </w:p>
          <w:p w14:paraId="61DF03CC">
            <w:pPr>
              <w:keepNext w:val="0"/>
              <w:keepLines w:val="0"/>
              <w:pageBreakBefore w:val="0"/>
              <w:numPr>
                <w:ilvl w:val="0"/>
                <w:numId w:val="0"/>
              </w:numPr>
              <w:kinsoku/>
              <w:overflowPunct/>
              <w:topLinePunct w:val="0"/>
              <w:autoSpaceDE/>
              <w:autoSpaceDN/>
              <w:bidi w:val="0"/>
              <w:adjustRightInd/>
              <w:snapToGrid/>
              <w:ind w:left="420" w:leftChars="200" w:firstLine="0" w:firstLineChars="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1079F11D">
            <w:pPr>
              <w:keepNext w:val="0"/>
              <w:keepLines w:val="0"/>
              <w:widowControl/>
              <w:suppressLineNumbers w:val="0"/>
              <w:ind w:firstLine="420" w:firstLineChars="200"/>
              <w:jc w:val="left"/>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选用自带收尘装置的钻机设备，采取湿法凿岩</w:t>
            </w:r>
            <w:r>
              <w:rPr>
                <w:rFonts w:hint="eastAsia" w:ascii="Times New Roman" w:hAnsi="Times New Roman" w:eastAsia="方正仿宋_GBK" w:cs="Times New Roman"/>
                <w:bCs/>
                <w:szCs w:val="21"/>
                <w:lang w:val="en-US" w:eastAsia="zh-CN"/>
              </w:rPr>
              <w:t>、洒水降尘等</w:t>
            </w:r>
            <w:r>
              <w:rPr>
                <w:rFonts w:hint="eastAsia" w:ascii="Times New Roman" w:hAnsi="Times New Roman" w:eastAsia="方正仿宋_GBK" w:cs="Times New Roman"/>
                <w:lang w:val="en-US" w:eastAsia="zh-CN"/>
              </w:rPr>
              <w:t>措施；合理安排爆破时间，避免大风天作业，爆破后及铲装作业前采取喷雾</w:t>
            </w:r>
            <w:r>
              <w:rPr>
                <w:rFonts w:hint="eastAsia" w:ascii="Times New Roman" w:hAnsi="Times New Roman" w:eastAsia="方正仿宋_GBK" w:cs="Times New Roman"/>
                <w:bCs/>
                <w:szCs w:val="21"/>
                <w:lang w:val="en-US" w:eastAsia="zh-CN"/>
              </w:rPr>
              <w:t>降尘等</w:t>
            </w:r>
            <w:r>
              <w:rPr>
                <w:rFonts w:hint="eastAsia" w:ascii="Times New Roman" w:hAnsi="Times New Roman" w:eastAsia="方正仿宋_GBK" w:cs="Times New Roman"/>
                <w:lang w:val="en-US" w:eastAsia="zh-CN"/>
              </w:rPr>
              <w:t>措施；表土临时堆场设防尘网遮盖；各加工厂生产线的生产设备采取分区封闭的方式设置于封闭的生产厂房内，对设备产尘点采取定点喷雾降尘措施；所有输送皮带均采取全封闭措施；设置半封闭式产品堆场，堆场内和车辆及进出口采取喷雾降尘措施。对1#加工厂的振动筛采取二次封闭措施；2#加工厂采取湿法筛分和水洗砂工艺减少粉尘产生。矿区采场至加工区的转运道路建设为泥结碎石路面，采取喷雾降尘措施；加工区进出口设置车辆冲洗平台，配备洒水车洒水抑尘。加工区、开采平台采用雾炮机进行洒水降尘；加强车辆运输管理，车辆密闭运输，限制车速。食堂油烟经抽油烟机净化处理后引至屋顶排放。</w:t>
            </w:r>
          </w:p>
          <w:p w14:paraId="499FB49B">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07E0F499">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矿区设初期雨水池，收集矿区初期雨水沉淀后做生产防尘补充水；加工区采取雨污分流措施，车间内四周设置截水沟，将车间内的散水及初期雨水收集至沉淀池处理后回用。车间外周围设雨水沟，将周围雨水引流至附近山水沟排放。2#加工厂建设废水处理系统1套，采用“絮凝沉淀+板框压滤”废水处理工艺，将洗砂废水收集处理后全部循环回用不外排。车辆冲洗废水收集至沉淀池处理后回用。生活污水</w:t>
            </w:r>
            <w:r>
              <w:rPr>
                <w:rFonts w:hint="eastAsia" w:ascii="Times New Roman" w:hAnsi="Times New Roman" w:eastAsia="方正仿宋_GBK" w:cs="Times New Roman"/>
                <w:bCs/>
                <w:szCs w:val="21"/>
                <w:lang w:val="en-US" w:eastAsia="zh-CN"/>
              </w:rPr>
              <w:t>经预处理池处理后拉运至附近污水处理厂处理</w:t>
            </w:r>
            <w:r>
              <w:rPr>
                <w:rFonts w:hint="eastAsia" w:ascii="Times New Roman" w:hAnsi="Times New Roman" w:eastAsia="方正仿宋_GBK" w:cs="Times New Roman"/>
                <w:lang w:val="en-US" w:eastAsia="zh-CN"/>
              </w:rPr>
              <w:t>。</w:t>
            </w:r>
          </w:p>
          <w:p w14:paraId="3A2344A7">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58BE4CBC">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合理安排施工时间，禁止夜间（22:00~6:00）施工；选择低噪声设备，固定设备设置在封闭车间内，生产设备采取减震、隔声等措施；加强机械设备的维护保养，避免高噪声运行；空压机等设置专用的房间；合理安排爆破、生产及运输作业时间。</w:t>
            </w:r>
          </w:p>
          <w:p w14:paraId="48B5DA7C">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47E215B2">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剥离表土、除泥筛分离的泥土和废水处理产生的干化泥饼及时运至表土堆场堆存；树木等交由木材商回收或附近农户作燃料；废石用于老采空区充填或矿山道路建设及泥结石路面维护；生活垃圾收后及时运至附近场镇生活垃圾收集点；1#加工厂和2#加工厂各设一个危废间收集暂存废矿物油、废机油桶等危废，定期委托有资质的单位回收处置。</w:t>
            </w:r>
          </w:p>
          <w:p w14:paraId="51CAEA56">
            <w:pPr>
              <w:keepNext w:val="0"/>
              <w:keepLines w:val="0"/>
              <w:pageBreakBefore w:val="0"/>
              <w:widowControl/>
              <w:numPr>
                <w:ilvl w:val="0"/>
                <w:numId w:val="0"/>
              </w:numPr>
              <w:kinsoku/>
              <w:overflowPunct/>
              <w:topLinePunct w:val="0"/>
              <w:autoSpaceDE/>
              <w:autoSpaceDN/>
              <w:bidi w:val="0"/>
              <w:adjustRightInd/>
              <w:snapToGrid/>
              <w:spacing w:after="0" w:line="240" w:lineRule="auto"/>
              <w:ind w:left="0" w:leftChars="0" w:firstLine="422" w:firstLineChars="200"/>
              <w:jc w:val="both"/>
              <w:textAlignment w:val="auto"/>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SA"/>
              </w:rPr>
              <w:t>5、</w:t>
            </w:r>
            <w:r>
              <w:rPr>
                <w:rFonts w:hint="default" w:ascii="Times New Roman" w:hAnsi="Times New Roman" w:eastAsia="方正仿宋_GBK" w:cs="Times New Roman"/>
                <w:b/>
                <w:bCs w:val="0"/>
                <w:kern w:val="0"/>
                <w:sz w:val="21"/>
                <w:szCs w:val="21"/>
              </w:rPr>
              <w:t>生态环境</w:t>
            </w:r>
          </w:p>
          <w:p w14:paraId="213C4D10">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严格控制开采作业面，禁止扩大采矿区域；对开采形成的最终台面及暂时不动用的台面及时进行覆土绿化；落实“边开采、边恢复”的生态修复措施。矿区周围设截排水沟，避免外围雨水汇入采场内；加强采场排水设施的管理维护，避免堵塞造成采场积水；及时对采空区进行回填、对开采形成的裸露平台及边坡进行绿化修复；开展闭矿期生态恢复工作，闭矿后对开采场、加工区设施设备及时拆除，开展生态恢复。严格按照《达州东部经开区麻柳镇葫芦社区安民寨建筑石料用灰岩矿矿山地质环境保护与土地复垦方案》的要求，落实生态恢复措施。</w:t>
            </w:r>
          </w:p>
          <w:p w14:paraId="77077954">
            <w:pPr>
              <w:ind w:firstLine="422" w:firstLineChars="200"/>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三、主要环境风险防范措施</w:t>
            </w:r>
          </w:p>
          <w:p w14:paraId="5F2B226A">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规范表土临时堆场的建设，堆场底部建设防洪和排水设施，临空面修建拦渣坝（墙），加强隐患排查，避免溃坝事故发生；开采边坡加强防护，及时复绿，周围修建截排水沟，定期巡查确保稳定；规范危废暂存间的建设，设防渗围堰，配备一定数量的消防器材，设置明显的标识、标牌，严禁烟火等；加强废水处理设施的维护管理工作，避免发生废水事故外排；厂区采取防渗分区，危废暂存间按重点防渗要求建设。</w:t>
            </w:r>
          </w:p>
          <w:p w14:paraId="47AA8C9E">
            <w:pPr>
              <w:keepNext w:val="0"/>
              <w:keepLines w:val="0"/>
              <w:pageBreakBefore w:val="0"/>
              <w:widowControl/>
              <w:kinsoku/>
              <w:wordWrap w:val="0"/>
              <w:overflowPunct/>
              <w:topLinePunct w:val="0"/>
              <w:autoSpaceDE/>
              <w:autoSpaceDN/>
              <w:bidi w:val="0"/>
              <w:adjustRightInd/>
              <w:snapToGrid/>
              <w:spacing w:after="0" w:line="240" w:lineRule="auto"/>
              <w:ind w:firstLine="422" w:firstLineChars="200"/>
              <w:jc w:val="both"/>
              <w:textAlignment w:val="auto"/>
              <w:rPr>
                <w:rFonts w:ascii="Times New Roman" w:hAnsi="Times New Roman" w:eastAsia="宋体" w:cs="Times New Roman"/>
                <w:b/>
              </w:rPr>
            </w:pPr>
            <w:r>
              <w:rPr>
                <w:rFonts w:hint="default" w:ascii="Times New Roman" w:hAnsi="Times New Roman" w:eastAsia="方正仿宋_GBK" w:cs="Times New Roman"/>
                <w:b/>
                <w:bCs/>
                <w:kern w:val="0"/>
                <w:sz w:val="21"/>
                <w:szCs w:val="21"/>
              </w:rPr>
              <w:t>四、其他部门意见</w:t>
            </w:r>
          </w:p>
          <w:p w14:paraId="1E6FCCDC">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（1）四川达州东部经济开发区政务服务管理局《四川省固定资产投资项目备案表》。</w:t>
            </w:r>
          </w:p>
          <w:p w14:paraId="48FC4054">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（2）达州市自然资源和规划局《采矿许可证》。</w:t>
            </w:r>
          </w:p>
          <w:p w14:paraId="1FFC7507">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ascii="Times New Roman" w:hAnsi="Times New Roman" w:eastAsia="宋体" w:cs="Times New Roman"/>
              </w:rPr>
            </w:pPr>
            <w:r>
              <w:rPr>
                <w:rFonts w:hint="default" w:ascii="Times New Roman" w:hAnsi="Times New Roman" w:eastAsia="方正仿宋_GBK" w:cs="Times New Roman"/>
                <w:lang w:val="en-US" w:eastAsia="zh-CN"/>
              </w:rPr>
              <w:t>（3）达州市自然资源和规划局东部经开区分区《国土空间规划审查图》。</w:t>
            </w:r>
          </w:p>
        </w:tc>
      </w:tr>
    </w:tbl>
    <w:p w14:paraId="346892E0">
      <w:pPr>
        <w:spacing w:line="20" w:lineRule="exact"/>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1" w:fontKey="{59B0E1C7-35E1-4905-AE3E-C571215708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E7"/>
    <w:rsid w:val="00037CCE"/>
    <w:rsid w:val="000E36E7"/>
    <w:rsid w:val="00310181"/>
    <w:rsid w:val="00442CF0"/>
    <w:rsid w:val="00481BC7"/>
    <w:rsid w:val="00522C6A"/>
    <w:rsid w:val="00554C58"/>
    <w:rsid w:val="005847EF"/>
    <w:rsid w:val="006D4F8D"/>
    <w:rsid w:val="006E090C"/>
    <w:rsid w:val="007D7CBA"/>
    <w:rsid w:val="00836DB1"/>
    <w:rsid w:val="00903734"/>
    <w:rsid w:val="009659D4"/>
    <w:rsid w:val="009D04BD"/>
    <w:rsid w:val="00AE13BD"/>
    <w:rsid w:val="00B257C0"/>
    <w:rsid w:val="00DC3ADC"/>
    <w:rsid w:val="00E26928"/>
    <w:rsid w:val="00E67AE2"/>
    <w:rsid w:val="00EB2448"/>
    <w:rsid w:val="00ED312D"/>
    <w:rsid w:val="00F907ED"/>
    <w:rsid w:val="11F13E99"/>
    <w:rsid w:val="17CA1A60"/>
    <w:rsid w:val="2113274F"/>
    <w:rsid w:val="297D53EF"/>
    <w:rsid w:val="2CAE7E10"/>
    <w:rsid w:val="4FF5172F"/>
    <w:rsid w:val="51FF0643"/>
    <w:rsid w:val="5FA34D03"/>
    <w:rsid w:val="621C0D9D"/>
    <w:rsid w:val="667A529B"/>
    <w:rsid w:val="6894168D"/>
    <w:rsid w:val="71132881"/>
    <w:rsid w:val="73983F2D"/>
    <w:rsid w:val="77D7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8"/>
    <w:semiHidden/>
    <w:unhideWhenUsed/>
    <w:qFormat/>
    <w:uiPriority w:val="99"/>
    <w:pPr>
      <w:spacing w:after="120" w:line="480" w:lineRule="auto"/>
      <w:ind w:left="420" w:leftChars="200"/>
    </w:pPr>
    <w:rPr>
      <w:rFonts w:ascii="Times New Roman" w:hAnsi="Times New Roman"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字符"/>
    <w:basedOn w:val="7"/>
    <w:link w:val="2"/>
    <w:semiHidden/>
    <w:uiPriority w:val="99"/>
    <w:rPr>
      <w:rFonts w:ascii="Times New Roman" w:hAnsi="Times New Roman" w:eastAsia="宋体" w:cs="Times New Roman"/>
      <w:szCs w:val="24"/>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2017</Words>
  <Characters>2065</Characters>
  <Lines>15</Lines>
  <Paragraphs>4</Paragraphs>
  <TotalTime>20</TotalTime>
  <ScaleCrop>false</ScaleCrop>
  <LinksUpToDate>false</LinksUpToDate>
  <CharactersWithSpaces>2065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2022-06-17T06:36:00Z</dcterms:created>
  <dc:creator>Administrator</dc:creator>
  <cp:lastModifiedBy></cp:lastModifiedBy>
  <dcterms:modified xsi:type="dcterms:W3CDTF">2025-03-21T06:07:30Z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eyJoZGlkIjoiMjk2YWNmNGE3ODg1MjQwMTJhNzhmZWRjYzNmZjM2MDQiLCJ1c2VySWQiOiI0Mzg1Mjk5ODEifQ==</vt:lpwstr>
  </property>
  <property fmtid="{D5CDD505-2E9C-101B-9397-08002B2CF9AE}" pid="3" name="KSOProductBuildVer">
    <vt:lpwstr>2052-12.1.0.20305</vt:lpwstr>
  </property>
  <property fmtid="{D5CDD505-2E9C-101B-9397-08002B2CF9AE}" pid="4" name="ICV">
    <vt:lpwstr>E6F641F776194770AB88CC2742FFFDDF_13</vt:lpwstr>
  </property>
</Properties>
</file>