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51" w:rsidRDefault="006B3051">
      <w:pPr>
        <w:pStyle w:val="2"/>
      </w:pPr>
      <w:bookmarkStart w:id="0" w:name="_GoBack"/>
      <w:bookmarkEnd w:id="0"/>
    </w:p>
    <w:tbl>
      <w:tblPr>
        <w:tblpPr w:leftFromText="180" w:rightFromText="180" w:vertAnchor="page" w:horzAnchor="page" w:tblpX="1936" w:tblpY="2455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00"/>
        <w:gridCol w:w="716"/>
        <w:gridCol w:w="717"/>
        <w:gridCol w:w="646"/>
        <w:gridCol w:w="2268"/>
        <w:gridCol w:w="8080"/>
      </w:tblGrid>
      <w:tr w:rsidR="006B3051">
        <w:trPr>
          <w:trHeight w:val="9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建设地点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建设单位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环境影响评价机构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项目概况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主要环境影响及预防或者减轻</w:t>
            </w:r>
          </w:p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不良环境影响的对策和措施</w:t>
            </w:r>
          </w:p>
        </w:tc>
      </w:tr>
      <w:tr w:rsidR="006B3051">
        <w:trPr>
          <w:trHeight w:val="9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color w:val="000000"/>
                <w:szCs w:val="21"/>
                <w:shd w:val="clear" w:color="auto" w:fill="FFFFFF"/>
              </w:rPr>
              <w:t>国道</w:t>
            </w:r>
            <w:r>
              <w:rPr>
                <w:color w:val="000000"/>
                <w:szCs w:val="21"/>
                <w:shd w:val="clear" w:color="auto" w:fill="FFFFFF"/>
              </w:rPr>
              <w:t>210</w:t>
            </w:r>
            <w:r>
              <w:rPr>
                <w:color w:val="000000"/>
                <w:szCs w:val="21"/>
                <w:shd w:val="clear" w:color="auto" w:fill="FFFFFF"/>
              </w:rPr>
              <w:t>大竹县石河（达川界）至月华段改建工程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color w:val="000000"/>
                <w:szCs w:val="21"/>
                <w:shd w:val="clear" w:color="auto" w:fill="FFFFFF"/>
              </w:rPr>
              <w:t>四川省达州市大竹县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rPr>
                <w:kern w:val="0"/>
                <w:szCs w:val="21"/>
              </w:rPr>
              <w:t>大竹县恒达交通发展有限责任公司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jc w:val="center"/>
              <w:rPr>
                <w:b/>
                <w:bCs/>
              </w:rPr>
            </w:pPr>
            <w:r>
              <w:t>四川仁欣环境工程咨询有限公司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ind w:firstLineChars="200" w:firstLine="420"/>
              <w:contextualSpacing/>
              <w:rPr>
                <w:b/>
                <w:bCs/>
              </w:rPr>
            </w:pPr>
            <w:r>
              <w:rPr>
                <w:color w:val="000000"/>
                <w:szCs w:val="21"/>
              </w:rPr>
              <w:t>项目起于大竹县石河镇（达川界），接</w:t>
            </w:r>
            <w:r>
              <w:rPr>
                <w:color w:val="000000"/>
                <w:szCs w:val="21"/>
              </w:rPr>
              <w:t>G210</w:t>
            </w:r>
            <w:r>
              <w:rPr>
                <w:color w:val="000000"/>
                <w:szCs w:val="21"/>
              </w:rPr>
              <w:t>达川区段，</w:t>
            </w:r>
            <w:proofErr w:type="gramStart"/>
            <w:r>
              <w:rPr>
                <w:color w:val="000000"/>
                <w:szCs w:val="21"/>
              </w:rPr>
              <w:t>经原双拱</w:t>
            </w:r>
            <w:proofErr w:type="gramEnd"/>
            <w:r>
              <w:rPr>
                <w:color w:val="000000"/>
                <w:szCs w:val="21"/>
              </w:rPr>
              <w:t>镇东，改造</w:t>
            </w:r>
            <w:proofErr w:type="gramStart"/>
            <w:r>
              <w:rPr>
                <w:color w:val="000000"/>
                <w:szCs w:val="21"/>
              </w:rPr>
              <w:t>利用既</w:t>
            </w:r>
            <w:proofErr w:type="gramEnd"/>
            <w:r>
              <w:rPr>
                <w:color w:val="000000"/>
                <w:szCs w:val="21"/>
              </w:rPr>
              <w:t>有利森大道，经石河镇西侧、月华镇，止于大竹县城北侧，顺接</w:t>
            </w:r>
            <w:r>
              <w:rPr>
                <w:color w:val="000000"/>
                <w:szCs w:val="21"/>
              </w:rPr>
              <w:t>G210</w:t>
            </w:r>
            <w:r>
              <w:rPr>
                <w:color w:val="000000"/>
                <w:szCs w:val="21"/>
              </w:rPr>
              <w:t>大竹县城段。路线全长约</w:t>
            </w:r>
            <w:r>
              <w:rPr>
                <w:color w:val="000000"/>
                <w:szCs w:val="21"/>
              </w:rPr>
              <w:t>21.142</w:t>
            </w:r>
            <w:r>
              <w:rPr>
                <w:color w:val="000000"/>
                <w:szCs w:val="21"/>
              </w:rPr>
              <w:t>公里，其中新建段约</w:t>
            </w:r>
            <w:r>
              <w:rPr>
                <w:color w:val="000000"/>
                <w:szCs w:val="21"/>
              </w:rPr>
              <w:t>15.042</w:t>
            </w:r>
            <w:r>
              <w:rPr>
                <w:color w:val="000000"/>
                <w:szCs w:val="21"/>
              </w:rPr>
              <w:t>公里，改建段约</w:t>
            </w:r>
            <w:r>
              <w:rPr>
                <w:color w:val="000000"/>
                <w:szCs w:val="21"/>
              </w:rPr>
              <w:t>4.5</w:t>
            </w:r>
            <w:r>
              <w:rPr>
                <w:color w:val="000000"/>
                <w:szCs w:val="21"/>
              </w:rPr>
              <w:t>公里，利用段约</w:t>
            </w:r>
            <w:r>
              <w:rPr>
                <w:color w:val="000000"/>
                <w:szCs w:val="21"/>
              </w:rPr>
              <w:t>1.6</w:t>
            </w:r>
            <w:r>
              <w:rPr>
                <w:color w:val="000000"/>
                <w:szCs w:val="21"/>
              </w:rPr>
              <w:t>公里。全线共设桥梁</w:t>
            </w:r>
            <w:r>
              <w:rPr>
                <w:color w:val="000000"/>
                <w:szCs w:val="21"/>
              </w:rPr>
              <w:t>670m/10</w:t>
            </w:r>
            <w:r>
              <w:rPr>
                <w:color w:val="000000"/>
                <w:szCs w:val="21"/>
              </w:rPr>
              <w:t>座；其中大桥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座，长</w:t>
            </w:r>
            <w:r>
              <w:rPr>
                <w:color w:val="000000"/>
                <w:szCs w:val="21"/>
              </w:rPr>
              <w:t>159.5m</w:t>
            </w:r>
            <w:r>
              <w:rPr>
                <w:color w:val="000000"/>
                <w:szCs w:val="21"/>
              </w:rPr>
              <w:t>；中桥</w:t>
            </w:r>
            <w:r>
              <w:rPr>
                <w:color w:val="000000"/>
                <w:szCs w:val="21"/>
              </w:rPr>
              <w:t>9</w:t>
            </w:r>
            <w:r>
              <w:rPr>
                <w:color w:val="000000"/>
                <w:szCs w:val="21"/>
              </w:rPr>
              <w:t>座，长</w:t>
            </w:r>
            <w:r>
              <w:rPr>
                <w:color w:val="000000"/>
                <w:szCs w:val="21"/>
              </w:rPr>
              <w:t>510.9m</w:t>
            </w:r>
            <w:r>
              <w:rPr>
                <w:color w:val="000000"/>
                <w:szCs w:val="21"/>
              </w:rPr>
              <w:t>（包含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座改路桥梁）；渡槽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处；全线共设涵洞</w:t>
            </w:r>
            <w:r>
              <w:rPr>
                <w:color w:val="000000"/>
                <w:szCs w:val="21"/>
              </w:rPr>
              <w:t>80</w:t>
            </w:r>
            <w:r>
              <w:rPr>
                <w:color w:val="000000"/>
                <w:szCs w:val="21"/>
              </w:rPr>
              <w:t>道；平面交叉</w:t>
            </w:r>
            <w:r>
              <w:rPr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处；停车区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处。项目设置预制场地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处，拌合场地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处（热</w:t>
            </w:r>
            <w:r>
              <w:rPr>
                <w:color w:val="000000"/>
                <w:szCs w:val="21"/>
              </w:rPr>
              <w:lastRenderedPageBreak/>
              <w:t>拌、冷拌）；设置施工便道</w:t>
            </w:r>
            <w:r>
              <w:rPr>
                <w:color w:val="000000"/>
                <w:szCs w:val="21"/>
              </w:rPr>
              <w:t>6.55km</w:t>
            </w:r>
            <w:r>
              <w:rPr>
                <w:color w:val="000000"/>
                <w:szCs w:val="21"/>
              </w:rPr>
              <w:t>；设</w:t>
            </w:r>
            <w:r>
              <w:rPr>
                <w:color w:val="000000"/>
                <w:szCs w:val="21"/>
              </w:rPr>
              <w:t>置弃渣场</w:t>
            </w:r>
            <w:r>
              <w:rPr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处。工程总</w:t>
            </w:r>
            <w:r>
              <w:rPr>
                <w:color w:val="000000"/>
                <w:szCs w:val="21"/>
              </w:rPr>
              <w:t>投资估算为</w:t>
            </w:r>
            <w:r>
              <w:rPr>
                <w:color w:val="000000"/>
                <w:szCs w:val="21"/>
              </w:rPr>
              <w:t>9.68</w:t>
            </w:r>
            <w:r>
              <w:rPr>
                <w:color w:val="000000"/>
                <w:szCs w:val="21"/>
              </w:rPr>
              <w:t>亿</w:t>
            </w:r>
            <w:r>
              <w:rPr>
                <w:color w:val="000000"/>
                <w:szCs w:val="21"/>
              </w:rPr>
              <w:t>元，其中环保投资</w:t>
            </w:r>
            <w:r>
              <w:rPr>
                <w:color w:val="000000"/>
                <w:szCs w:val="21"/>
              </w:rPr>
              <w:t>3010</w:t>
            </w:r>
            <w:r>
              <w:rPr>
                <w:color w:val="000000"/>
                <w:szCs w:val="21"/>
              </w:rPr>
              <w:t>万元</w:t>
            </w:r>
            <w:r>
              <w:rPr>
                <w:color w:val="000000"/>
                <w:szCs w:val="21"/>
              </w:rPr>
              <w:t>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lastRenderedPageBreak/>
              <w:t>一、施工期环境保护措施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）废气</w:t>
            </w:r>
          </w:p>
          <w:p w:rsidR="006B3051" w:rsidRDefault="004913C9" w:rsidP="00122A24">
            <w:pPr>
              <w:pStyle w:val="aa"/>
              <w:spacing w:line="300" w:lineRule="atLeast"/>
              <w:ind w:firstLine="420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加强施工管理，做到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六必须、六不准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施工扬尘采取配套设置</w:t>
            </w:r>
            <w:proofErr w:type="gramStart"/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抑</w:t>
            </w:r>
            <w:proofErr w:type="gramEnd"/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尘网，围挡施工，洒水降尘等措施；施工机械废气采取加强对施工设备设施的日常维护和保养，保证正常工况等措施；施工料场扬尘采取场地硬化，篷布覆盖，洒水降尘等措施；施工食堂油烟经油烟净化器处理后达标排放</w:t>
            </w:r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预制场粉尘采取湿法作业，洒水降尘等措施</w:t>
            </w:r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；拌合站（热拌、冷拌）产生的沥青</w:t>
            </w:r>
            <w:proofErr w:type="gramStart"/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烟采用</w:t>
            </w:r>
            <w:proofErr w:type="gramEnd"/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旋风除尘</w:t>
            </w:r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加热炉燃烧法进行处理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，处理后排放可满足《大气污染物综合排放标准》（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GB16</w:t>
            </w:r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97-1996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）中建筑搅拌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75mg/m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的标准限值</w:t>
            </w:r>
            <w:r>
              <w:rPr>
                <w:rFonts w:asci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）废水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施工废水、车辆冲洗废水、预制场废水和混凝土养护废水排入隔油沉淀池处理后回用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于洒水降尘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，禁止外排。生活污水经化粪池收集处理后，由吸污车转运至沿线乡镇污水处理厂处理，禁止外排。涉水桥梁施工选在枯水期进行，采用钢围堰施工，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钻孔泥浆循环使用，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确保施工泥浆不下河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，泥渣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清运至弃渣场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）噪声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合理布设施工营地，尽量选用低噪声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施工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机械设备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施工过程中设置围挡，设置必要减震防噪措施。合理安排施工时序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在高噪声施工作业时（如路面挖除破碎、路基开挖等）合理安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排工期，分段施工，以减少沿线环境影响。夜间禁止施工扰民，若要进行夜间施工应取得相关主管部门同意，并张榜公示后方能进行。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）固废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施工过程中加强对临时表土堆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放防护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采用篷布覆盖，设置临时围挡、导排水设施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lastRenderedPageBreak/>
              <w:t>和沉淀池。桥梁施工产生废渣禁止乱扔乱弃，晾干后收弃渣转运至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指定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弃渣场堆放填埋。机械油料、废机油等危险废物回收暂存处应远离河床，生活垃圾分类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收集后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由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环卫部门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统一清运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处理；施工废机油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设置危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废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暂存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间，采用防渗混凝土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施工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，满足重点防渗要求，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及时交由有资质的单位进行处理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；储油库进行混凝土防渗并设置容积不低于油罐最大储量的防渗围堰。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）生态治理措施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严格控制项目用地红线，不得随意扩大用地范围，破坏用地红线外的地表植被。严格控制临时用地面积，施工营地、施工便道、各种料场、预制场要根据工程进度统筹考虑。临时堆料、堆土应该远离地表水体，远离饮用水水源保护区，并在四周加强挡护措施，施工材料堆放避开水源和其他水体，禁止废水废渣入河。工程完工后应及时对部分临时用地和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弃渣场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用地按占用前的土地利用类别进行恢复，剥离的表土应单独收集和存放，用于土地复垦、土壤改良、造地和绿化等。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二、营运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期环境保护措施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）废气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在路堑边坡和路堤边坡特别是敏感点附近加强绿化，加强交通管理，禁止尾气超标车辆上路行驶。定期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清理维护路面，并使用洒水车对路面进行洒水降尘。定期在环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评报告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中选取布置的监测点进行环境空气监测。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管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养站食堂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油烟经油烟净化装置处理后楼顶排放。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）废水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路面和路基应设置完善的排水系统，路面、路基排水系统路侧边沟设计时，需避免与农田连接。定期检查清理公路的雨水排水系统，保证畅通。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养护道班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生活污水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依托月华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镇污水处理厂处理后达标排放。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）噪声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加强道路两侧绿化带、定期维护保养路面，减小车辆噪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声影响。加强临路第一排居民点窗外监测，发现超标时采取适当的工程措施。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项目在运营期预留噪声跟踪监测费用和治理费用。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lastRenderedPageBreak/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）固体废物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定期对道路进行清扫，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收集固废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交由当地环卫部门处置。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管理站点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产生生活垃圾收集后交由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大竹县生活垃圾收集点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处置。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）生态环境影响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陆生植物保护措施：对临时用地区域植被恢复情况进行长期跟踪监测，草地、林地恢复效果较差（植被覆盖率低于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80%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的应及时补栽或调整恢复方案。陆生动物保护措施：定期检查、维护野生动物保护设施。水生生物保护措施：加强公路排水设施的管理和维持，定期巡查养护，对跨河桥梁路段重点管理，防止公路路面、桥面径流直接排入沿线河流水体，影响水生生物生存环境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三、环境风险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为降低对地表水环境敏感保护目标的影响，在沿线跨河桥梁两侧的道路设置连续的加强型防撞栏，在跨河桥梁桥头，设置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谨慎驾驶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”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禁止超车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”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警示牌和危险品车辆限速标志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。加强危险品运输管理，强化危险品运输从业人员的培训。制定危险品运输事故污染风险减缓措施及应急措施，完善建设突发性环境污染事故控制指挥系统，制定应急计划。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四、公众参与情况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项目进行了两次网络公示、两次报纸公示、一次现场张贴公示及一次补充公示，均未收到反对意见。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五、其他部门意见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四川省林业和草原局关于准予国道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大竹县石河（达川界）至月华段改建工程占用林地的行政许可决定（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川林资许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准（达）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2023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〕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012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号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）；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达州市水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务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局关于国道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大竹县石河（达川界）至月华段改建工程水土保持方案的批复（达市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水审函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2023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〕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号）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。</w:t>
            </w:r>
          </w:p>
          <w:p w:rsidR="006B3051" w:rsidRDefault="004913C9">
            <w:pPr>
              <w:pStyle w:val="a8"/>
              <w:shd w:val="clear" w:color="auto" w:fill="FFFFFF"/>
              <w:spacing w:before="0" w:beforeAutospacing="0" w:after="0" w:afterAutospacing="0" w:line="300" w:lineRule="atLeast"/>
              <w:ind w:firstLine="405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、大竹县行政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审批局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关于国道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大竹县石河（达川界）至月华段改建工程行洪论证与河势稳定性评价报告的批复（竹</w:t>
            </w: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行审水务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许可字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2023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〕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40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号）</w:t>
            </w:r>
          </w:p>
        </w:tc>
      </w:tr>
    </w:tbl>
    <w:p w:rsidR="006B3051" w:rsidRDefault="006B3051">
      <w:pPr>
        <w:pStyle w:val="a8"/>
        <w:shd w:val="clear" w:color="auto" w:fill="FFFFFF"/>
        <w:spacing w:before="0" w:beforeAutospacing="0" w:after="0" w:afterAutospacing="0" w:line="300" w:lineRule="atLeast"/>
        <w:ind w:firstLine="405"/>
        <w:jc w:val="both"/>
        <w:rPr>
          <w:color w:val="000000"/>
          <w:sz w:val="21"/>
          <w:szCs w:val="21"/>
        </w:rPr>
      </w:pPr>
    </w:p>
    <w:sectPr w:rsidR="006B305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C9" w:rsidRDefault="004913C9" w:rsidP="00122A24">
      <w:r>
        <w:separator/>
      </w:r>
    </w:p>
  </w:endnote>
  <w:endnote w:type="continuationSeparator" w:id="0">
    <w:p w:rsidR="004913C9" w:rsidRDefault="004913C9" w:rsidP="0012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兰亭黑_GBK"/>
    <w:charset w:val="86"/>
    <w:family w:val="auto"/>
    <w:pitch w:val="variable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C9" w:rsidRDefault="004913C9" w:rsidP="00122A24">
      <w:r>
        <w:separator/>
      </w:r>
    </w:p>
  </w:footnote>
  <w:footnote w:type="continuationSeparator" w:id="0">
    <w:p w:rsidR="004913C9" w:rsidRDefault="004913C9" w:rsidP="0012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hlMGI2NmFmNjIzZGY2NDIyNjc5NTY4MmM2MDMwMDMifQ=="/>
  </w:docVars>
  <w:rsids>
    <w:rsidRoot w:val="006B3051"/>
    <w:rsid w:val="00122A24"/>
    <w:rsid w:val="004913C9"/>
    <w:rsid w:val="006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line="576" w:lineRule="auto"/>
      <w:outlineLvl w:val="0"/>
    </w:pPr>
    <w:rPr>
      <w:rFonts w:ascii="等线" w:eastAsia="等线"/>
      <w:b/>
      <w:kern w:val="44"/>
      <w:sz w:val="44"/>
      <w:szCs w:val="20"/>
    </w:rPr>
  </w:style>
  <w:style w:type="paragraph" w:styleId="20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360" w:lineRule="auto"/>
    </w:pPr>
    <w:rPr>
      <w:sz w:val="24"/>
    </w:rPr>
  </w:style>
  <w:style w:type="paragraph" w:styleId="a3">
    <w:name w:val="annotation text"/>
    <w:basedOn w:val="a"/>
    <w:pPr>
      <w:jc w:val="left"/>
    </w:pPr>
  </w:style>
  <w:style w:type="paragraph" w:styleId="a4">
    <w:name w:val="Body Text Indent"/>
    <w:basedOn w:val="a"/>
    <w:next w:val="a"/>
    <w:pPr>
      <w:spacing w:after="120"/>
      <w:ind w:leftChars="200" w:left="2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able of figures"/>
    <w:basedOn w:val="a"/>
    <w:next w:val="a"/>
    <w:pPr>
      <w:widowControl/>
      <w:spacing w:after="120" w:line="360" w:lineRule="auto"/>
      <w:ind w:leftChars="200" w:left="400" w:hangingChars="200" w:hanging="200"/>
    </w:pPr>
    <w:rPr>
      <w:kern w:val="0"/>
      <w:sz w:val="24"/>
      <w:szCs w:val="20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9">
    <w:name w:val="annotation subject"/>
    <w:basedOn w:val="a3"/>
    <w:next w:val="a3"/>
    <w:rPr>
      <w:b/>
    </w:rPr>
  </w:style>
  <w:style w:type="paragraph" w:styleId="21">
    <w:name w:val="Body Text First Indent 2"/>
    <w:basedOn w:val="a4"/>
    <w:pPr>
      <w:ind w:firstLineChars="200" w:firstLine="200"/>
    </w:pPr>
  </w:style>
  <w:style w:type="paragraph" w:customStyle="1" w:styleId="22">
    <w:name w:val="正文2"/>
    <w:basedOn w:val="a4"/>
    <w:next w:val="a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a-41">
    <w:name w:val="ca-41"/>
    <w:rPr>
      <w:rFonts w:ascii="宋体" w:eastAsia="宋体"/>
      <w:sz w:val="24"/>
      <w:szCs w:val="24"/>
    </w:rPr>
  </w:style>
  <w:style w:type="paragraph" w:customStyle="1" w:styleId="aa">
    <w:name w:val="正文样式"/>
    <w:basedOn w:val="a"/>
    <w:pPr>
      <w:spacing w:line="360" w:lineRule="auto"/>
      <w:ind w:firstLineChars="200" w:firstLine="200"/>
    </w:pPr>
    <w:rPr>
      <w:rFonts w:asci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line="576" w:lineRule="auto"/>
      <w:outlineLvl w:val="0"/>
    </w:pPr>
    <w:rPr>
      <w:rFonts w:ascii="等线" w:eastAsia="等线"/>
      <w:b/>
      <w:kern w:val="44"/>
      <w:sz w:val="44"/>
      <w:szCs w:val="20"/>
    </w:rPr>
  </w:style>
  <w:style w:type="paragraph" w:styleId="20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360" w:lineRule="auto"/>
    </w:pPr>
    <w:rPr>
      <w:sz w:val="24"/>
    </w:rPr>
  </w:style>
  <w:style w:type="paragraph" w:styleId="a3">
    <w:name w:val="annotation text"/>
    <w:basedOn w:val="a"/>
    <w:pPr>
      <w:jc w:val="left"/>
    </w:pPr>
  </w:style>
  <w:style w:type="paragraph" w:styleId="a4">
    <w:name w:val="Body Text Indent"/>
    <w:basedOn w:val="a"/>
    <w:next w:val="a"/>
    <w:pPr>
      <w:spacing w:after="120"/>
      <w:ind w:leftChars="200" w:left="2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able of figures"/>
    <w:basedOn w:val="a"/>
    <w:next w:val="a"/>
    <w:pPr>
      <w:widowControl/>
      <w:spacing w:after="120" w:line="360" w:lineRule="auto"/>
      <w:ind w:leftChars="200" w:left="400" w:hangingChars="200" w:hanging="200"/>
    </w:pPr>
    <w:rPr>
      <w:kern w:val="0"/>
      <w:sz w:val="24"/>
      <w:szCs w:val="20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9">
    <w:name w:val="annotation subject"/>
    <w:basedOn w:val="a3"/>
    <w:next w:val="a3"/>
    <w:rPr>
      <w:b/>
    </w:rPr>
  </w:style>
  <w:style w:type="paragraph" w:styleId="21">
    <w:name w:val="Body Text First Indent 2"/>
    <w:basedOn w:val="a4"/>
    <w:pPr>
      <w:ind w:firstLineChars="200" w:firstLine="200"/>
    </w:pPr>
  </w:style>
  <w:style w:type="paragraph" w:customStyle="1" w:styleId="22">
    <w:name w:val="正文2"/>
    <w:basedOn w:val="a4"/>
    <w:next w:val="a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a-41">
    <w:name w:val="ca-41"/>
    <w:rPr>
      <w:rFonts w:ascii="宋体" w:eastAsia="宋体"/>
      <w:sz w:val="24"/>
      <w:szCs w:val="24"/>
    </w:rPr>
  </w:style>
  <w:style w:type="paragraph" w:customStyle="1" w:styleId="aa">
    <w:name w:val="正文样式"/>
    <w:basedOn w:val="a"/>
    <w:pPr>
      <w:spacing w:line="360" w:lineRule="auto"/>
      <w:ind w:firstLineChars="200" w:firstLine="200"/>
    </w:pPr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xitongcheng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木林之风@</dc:creator>
  <cp:lastModifiedBy>杜青</cp:lastModifiedBy>
  <cp:revision>2</cp:revision>
  <dcterms:created xsi:type="dcterms:W3CDTF">2023-08-22T02:46:00Z</dcterms:created>
  <dcterms:modified xsi:type="dcterms:W3CDTF">2023-08-22T02:46:00Z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E10F48ACD584409F9F864B254BB1EAA8_13</vt:lpwstr>
  </property>
</Properties>
</file>