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1" w:rightFromText="181" w:vertAnchor="text" w:horzAnchor="page" w:tblpXSpec="center" w:tblpY="1"/>
        <w:tblOverlap w:val="never"/>
        <w:tblW w:w="14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"/>
        <w:gridCol w:w="660"/>
        <w:gridCol w:w="690"/>
        <w:gridCol w:w="750"/>
        <w:gridCol w:w="705"/>
        <w:gridCol w:w="2509"/>
        <w:gridCol w:w="8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</w:rPr>
            </w:pPr>
            <w:bookmarkStart w:id="0" w:name="_GoBack"/>
            <w:bookmarkEnd w:id="0"/>
            <w:r>
              <w:rPr>
                <w:b/>
                <w:bCs/>
                <w:color w:val="auto"/>
              </w:rPr>
              <w:t>序号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项目名称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建设地点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建设单位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环境影响评价机构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项目概况</w:t>
            </w:r>
          </w:p>
        </w:tc>
        <w:tc>
          <w:tcPr>
            <w:tcW w:w="8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主要环境影响及预防或者减轻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  <w:szCs w:val="21"/>
                <w:shd w:val="clear" w:color="auto" w:fill="FFFFFF"/>
              </w:rPr>
              <w:t>S204渠县荆山至曹家段改建工程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color w:val="auto"/>
                <w:szCs w:val="21"/>
                <w:shd w:val="clear" w:color="auto" w:fill="FFFFFF"/>
              </w:rPr>
              <w:t>四川达州</w:t>
            </w:r>
            <w:r>
              <w:rPr>
                <w:rFonts w:hint="eastAsia"/>
                <w:color w:val="auto"/>
                <w:szCs w:val="21"/>
                <w:shd w:val="clear" w:color="auto" w:fill="FFFFFF"/>
                <w:lang w:eastAsia="zh-CN"/>
              </w:rPr>
              <w:t>渠县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渠县交投建设有限责任公司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四川恒瑞盛锦环保科技有限公司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9"/>
              <w:spacing w:line="300" w:lineRule="atLeast"/>
              <w:ind w:firstLine="420"/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程起于三板镇荆山村，顺接S204岩峰至三板段，沿三板镇西侧布线绕避场镇，经大石村，止于万寿镇曹家村，顺接S204曹家至渠北段。路线全长7.242公里，其中新建段3.942公里，利用段3.3公里（完全利用原有道路）。</w:t>
            </w:r>
          </w:p>
          <w:p>
            <w:pPr>
              <w:pStyle w:val="19"/>
              <w:spacing w:line="300" w:lineRule="atLeast"/>
              <w:ind w:firstLine="420"/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工程采用二级公路技术标准建设，绕场镇段设计速度60公里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/小时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，路基宽度10m，桥梁宽度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10.5米；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绕避地灾段设计速度40公里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/小时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，路基宽度8.5m。全线采用沥青混凝土路面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新建桥梁73m/2座，设置涵洞14道，改移道路665m/5处，全线平交道口2处。项目属未批先建，已依法接受查处。</w:t>
            </w:r>
          </w:p>
          <w:p>
            <w:pPr>
              <w:pStyle w:val="19"/>
              <w:spacing w:line="300" w:lineRule="atLeast"/>
              <w:ind w:firstLine="420"/>
              <w:rPr>
                <w:rFonts w:hint="eastAsia" w:ascii="Times New Roman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工程所用钢材、水泥、木材、砂及砂砾料等材料外购成品。</w:t>
            </w:r>
            <w:r>
              <w:rPr>
                <w:rFonts w:hint="default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设置临时施工区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处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分别位于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K0+695、K7+000，内含桥涵预制场、拌合站、材料堆放区、机械停放区、钢筋加工棚、仓库等。</w:t>
            </w:r>
            <w:r>
              <w:rPr>
                <w:rFonts w:hint="default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设置弃土场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处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，分别位于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K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+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160右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K7+024右侧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表土堆场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处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，分别位于临时施工区。</w:t>
            </w:r>
            <w:r>
              <w:rPr>
                <w:rFonts w:hint="default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设置施工便道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210</w:t>
            </w:r>
            <w:r>
              <w:rPr>
                <w:rFonts w:hint="default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工程不设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置热拌合站、取土场、施工营地。</w:t>
            </w:r>
          </w:p>
          <w:p>
            <w:pPr>
              <w:pStyle w:val="19"/>
              <w:spacing w:line="300" w:lineRule="atLeast"/>
              <w:ind w:firstLine="420"/>
              <w:rPr>
                <w:color w:val="0000FF"/>
                <w:szCs w:val="21"/>
                <w:highlight w:val="none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  <w:highlight w:val="none"/>
              </w:rPr>
              <w:t>工程总投资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约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10449.47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万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  <w:highlight w:val="none"/>
              </w:rPr>
              <w:t>元，其中环保投资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约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555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  <w:highlight w:val="none"/>
              </w:rPr>
              <w:t>万元。</w:t>
            </w:r>
          </w:p>
        </w:tc>
        <w:tc>
          <w:tcPr>
            <w:tcW w:w="8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施工期主要环境保护措施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生态环境保护措施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FF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严格控制施工范围，优化施工临时工程设置；施工前路基开挖及临时占地的表土剥离保存，施工结束后及时做好植被恢复；强化施工环境管理，缩短施工时间，采取有效的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动植物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生态环境保护措施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控制和减缓工程施工对生态环境的不利影响。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）水污染防治措施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跨河和临河路段施工时设置施工围挡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生活污水依托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周边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民房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现有设施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处理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后用作农肥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施工区生产废水、桥梁施工废水及初期雨水收集后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经沉淀、隔油处理后回用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噪声污染防治措施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合理布设施工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现场</w:t>
            </w: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，尽量选用低噪声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低振动</w:t>
            </w: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施工机械设备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施工过程设置围挡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与</w:t>
            </w: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必要减震防噪措施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合理安排施工时序，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合理安排施工车辆运输路线与时间</w:t>
            </w: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（4）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eastAsia="zh-CN"/>
              </w:rPr>
              <w:t>大气污染防治措施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强化施工期扬尘污染防治，</w:t>
            </w:r>
            <w:r>
              <w:rPr>
                <w:rFonts w:ascii="Times New Roman"/>
                <w:color w:val="auto"/>
                <w:sz w:val="21"/>
                <w:szCs w:val="21"/>
                <w:highlight w:val="none"/>
              </w:rPr>
              <w:t>采取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eastAsia="zh-CN"/>
              </w:rPr>
              <w:t>设置围挡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ascii="Times New Roman"/>
                <w:color w:val="auto"/>
                <w:sz w:val="21"/>
                <w:szCs w:val="21"/>
                <w:highlight w:val="none"/>
              </w:rPr>
              <w:t>洒水降尘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Times New Roman"/>
                <w:color w:val="auto"/>
                <w:sz w:val="21"/>
                <w:szCs w:val="21"/>
                <w:highlight w:val="none"/>
              </w:rPr>
              <w:t>场地硬化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</w:rPr>
              <w:t>运输加盖篷布、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eastAsia="zh-CN"/>
              </w:rPr>
              <w:t>进出口设置冲洗平台</w:t>
            </w:r>
            <w:r>
              <w:rPr>
                <w:rFonts w:ascii="Times New Roman"/>
                <w:color w:val="auto"/>
                <w:sz w:val="21"/>
                <w:szCs w:val="21"/>
                <w:highlight w:val="none"/>
              </w:rPr>
              <w:t>等措施；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</w:rPr>
              <w:t>钢筋加工棚焊接废气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eastAsia="zh-CN"/>
              </w:rPr>
              <w:t>设置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</w:rPr>
              <w:t>移动净化设施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eastAsia="zh-CN"/>
              </w:rPr>
              <w:t>；拌合站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</w:rPr>
              <w:t>搅拌机设置在可封闭彩钢棚内并封闭进出料口，棚内洒水降尘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eastAsia="zh-CN"/>
              </w:rPr>
              <w:t>）固体废物污染防治措施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加强施工期生活垃圾、建筑垃圾、弃方、钻渣、脱水后泥浆、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压滤脱水后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沉淀池污泥、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废焊条、废焊渣、隔油池废油、废机油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等各类固体废物的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收集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、暂存、转运及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处置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过程中的环境管理，采取有效措施防止二次污染。</w:t>
            </w:r>
          </w:p>
          <w:p>
            <w:pPr>
              <w:pStyle w:val="1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营运期主要环境保护措施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加强营运期生态环境保护组织管理，落实陆生动植物和水生生物保护措施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加强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公路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沿线区域临时占地恢复工程的保护。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加强车辆管理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公路两侧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绿化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定期维护保养路面。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针对声环境敏感点设置各类有效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减噪措施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，预留噪声监测、治理费用和声屏障实施条件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加强跟踪监测，根据监测结果进一步完善必要的防治措施。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eastAsia="宋体" w:cs="Times New Roman"/>
                <w:color w:val="0000FF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固体废物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由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公路清洁人员定期清扫收集，交由环卫部门统一运至城市垃圾处理场。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加强排水系统等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水环境保护措施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桥梁路段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加强管理。</w:t>
            </w:r>
          </w:p>
          <w:p>
            <w:pPr>
              <w:pStyle w:val="1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主要环境风险防范措施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FF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桥梁设置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防撞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设施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等环境风险防范措施，同时设置减速慢行、禁止超车等警示标志</w:t>
            </w:r>
            <w:r>
              <w:rPr>
                <w:rFonts w:hint="eastAsia" w:ascii="Times New Roman" w:cs="Times New Roman"/>
                <w:color w:val="0000FF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加强</w:t>
            </w:r>
            <w:r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  <w:t>危险品运输管理。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制定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并落实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风险应急预案，降低和控制交通运输带来的环境风险。</w:t>
            </w:r>
          </w:p>
          <w:p>
            <w:pPr>
              <w:pStyle w:val="1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公众参与情况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建设单位按照《环境影响评价公众参与办法》要求，通过网上公示、登报公示、张贴公告等形式进行了信息公开，征求公众意见，在信息公开期间，未收到反对意见。</w:t>
            </w:r>
          </w:p>
          <w:p>
            <w:pPr>
              <w:pStyle w:val="1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其他部门意见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firstLine="420" w:firstLineChars="200"/>
              <w:jc w:val="both"/>
              <w:textAlignment w:val="auto"/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四川省生态环境厅《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关于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&lt;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四川省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普通省道网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布局规划（2021-2035年）环境影响报告书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审查意见的函》（川环建函〔202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</w:rPr>
              <w:t>〕3号）；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firstLine="420" w:firstLineChars="200"/>
              <w:jc w:val="both"/>
              <w:textAlignment w:val="auto"/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达州市生态环境局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</w:rPr>
              <w:t>《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关于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&lt;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达州市“十四五”综合交通运输发展规划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</w:rPr>
              <w:t>环境影响报告书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</w:rPr>
              <w:t>的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审查意见》（达市环函〔202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〕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216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号）；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firstLine="420" w:firstLineChars="200"/>
              <w:jc w:val="both"/>
              <w:textAlignment w:val="auto"/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3、渠县行政审批局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关于S204渠县荆山至曹家段改建工程水土保持方案的批复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》（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渠行审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涉农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〔202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〕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号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firstLine="420" w:firstLineChars="200"/>
              <w:jc w:val="both"/>
              <w:textAlignment w:val="auto"/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渠县文物局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关于S204渠县荆山至曹家段改建工程文物影响的复函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》（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渠文物函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〔202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〕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10号）</w:t>
            </w:r>
          </w:p>
        </w:tc>
      </w:tr>
    </w:tbl>
    <w:p>
      <w:pPr>
        <w:rPr>
          <w:color w:val="0000FF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E94A2"/>
    <w:multiLevelType w:val="singleLevel"/>
    <w:tmpl w:val="B4EE94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F6DED9"/>
    <w:multiLevelType w:val="singleLevel"/>
    <w:tmpl w:val="DEF6DE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A3YmE1MGVhYzgwYWY5ZmFkOGJkOTUyNGE0MTk3ZWMifQ=="/>
  </w:docVars>
  <w:rsids>
    <w:rsidRoot w:val="00D25A2F"/>
    <w:rsid w:val="006E228F"/>
    <w:rsid w:val="00A62B3D"/>
    <w:rsid w:val="00D25A2F"/>
    <w:rsid w:val="028662B9"/>
    <w:rsid w:val="05EDE4C1"/>
    <w:rsid w:val="08EB7780"/>
    <w:rsid w:val="0B45535F"/>
    <w:rsid w:val="188F5625"/>
    <w:rsid w:val="1E2329B4"/>
    <w:rsid w:val="1ED26A03"/>
    <w:rsid w:val="1EF7058A"/>
    <w:rsid w:val="1EFD7390"/>
    <w:rsid w:val="230227AB"/>
    <w:rsid w:val="2CE7730B"/>
    <w:rsid w:val="2F530909"/>
    <w:rsid w:val="30FC590F"/>
    <w:rsid w:val="35CDFAAB"/>
    <w:rsid w:val="375E2AE6"/>
    <w:rsid w:val="39DE288F"/>
    <w:rsid w:val="3D3FC34D"/>
    <w:rsid w:val="3F6D3B46"/>
    <w:rsid w:val="3FFF1126"/>
    <w:rsid w:val="44091866"/>
    <w:rsid w:val="4CDF1F4C"/>
    <w:rsid w:val="589A55C4"/>
    <w:rsid w:val="5A655962"/>
    <w:rsid w:val="5B5F95B7"/>
    <w:rsid w:val="5BCBDCD7"/>
    <w:rsid w:val="5E3D31C6"/>
    <w:rsid w:val="603D1CD6"/>
    <w:rsid w:val="657EDB8F"/>
    <w:rsid w:val="677D21CB"/>
    <w:rsid w:val="6972587E"/>
    <w:rsid w:val="6B7E7523"/>
    <w:rsid w:val="71BF4417"/>
    <w:rsid w:val="76FBFA1D"/>
    <w:rsid w:val="76FF349F"/>
    <w:rsid w:val="797948D0"/>
    <w:rsid w:val="7DF8C721"/>
    <w:rsid w:val="7F771036"/>
    <w:rsid w:val="7F7FC94B"/>
    <w:rsid w:val="7FD3982A"/>
    <w:rsid w:val="7FFFA18B"/>
    <w:rsid w:val="96F7EC78"/>
    <w:rsid w:val="9AFFC751"/>
    <w:rsid w:val="BFFD7FC4"/>
    <w:rsid w:val="CFD55F99"/>
    <w:rsid w:val="D3F25EE5"/>
    <w:rsid w:val="E3FF126E"/>
    <w:rsid w:val="E5BDBF6B"/>
    <w:rsid w:val="F57F241C"/>
    <w:rsid w:val="F6BFC36B"/>
    <w:rsid w:val="F7E39E3B"/>
    <w:rsid w:val="F9F026B2"/>
    <w:rsid w:val="FBF376B8"/>
    <w:rsid w:val="FDBC0B67"/>
    <w:rsid w:val="FDBF61F7"/>
    <w:rsid w:val="FEFD0FE3"/>
    <w:rsid w:val="FF3F68AD"/>
    <w:rsid w:val="FFFFB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等线" w:eastAsia="等线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</w:pPr>
    <w:rPr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able of figures"/>
    <w:basedOn w:val="1"/>
    <w:next w:val="1"/>
    <w:qFormat/>
    <w:uiPriority w:val="0"/>
    <w:pPr>
      <w:widowControl/>
      <w:spacing w:after="120" w:line="360" w:lineRule="auto"/>
      <w:ind w:left="400" w:leftChars="200" w:hanging="200" w:hangingChars="200"/>
    </w:pPr>
    <w:rPr>
      <w:kern w:val="0"/>
      <w:sz w:val="24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2">
    <w:name w:val="annotation subject"/>
    <w:basedOn w:val="6"/>
    <w:next w:val="6"/>
    <w:qFormat/>
    <w:uiPriority w:val="0"/>
    <w:rPr>
      <w:b/>
    </w:rPr>
  </w:style>
  <w:style w:type="paragraph" w:styleId="13">
    <w:name w:val="Body Text First Indent 2"/>
    <w:basedOn w:val="7"/>
    <w:qFormat/>
    <w:uiPriority w:val="0"/>
    <w:pPr>
      <w:ind w:firstLine="200" w:firstLineChars="200"/>
    </w:pPr>
  </w:style>
  <w:style w:type="paragraph" w:customStyle="1" w:styleId="16">
    <w:name w:val="正文2"/>
    <w:basedOn w:val="7"/>
    <w:next w:val="1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ca-41"/>
    <w:qFormat/>
    <w:uiPriority w:val="0"/>
    <w:rPr>
      <w:rFonts w:ascii="宋体" w:eastAsia="宋体"/>
      <w:sz w:val="24"/>
      <w:szCs w:val="24"/>
    </w:rPr>
  </w:style>
  <w:style w:type="paragraph" w:customStyle="1" w:styleId="19">
    <w:name w:val="正文样式"/>
    <w:basedOn w:val="1"/>
    <w:qFormat/>
    <w:uiPriority w:val="0"/>
    <w:pPr>
      <w:spacing w:line="360" w:lineRule="auto"/>
      <w:ind w:firstLine="200" w:firstLineChars="200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7</Pages>
  <Words>4649</Words>
  <Characters>4854</Characters>
  <Lines>14</Lines>
  <Paragraphs>4</Paragraphs>
  <TotalTime>2</TotalTime>
  <ScaleCrop>false</ScaleCrop>
  <LinksUpToDate>false</LinksUpToDate>
  <CharactersWithSpaces>4856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2024-05-10T22:21:00Z</dcterms:created>
  <dc:creator>木林之风@</dc:creator>
  <cp:lastModifiedBy>user</cp:lastModifiedBy>
  <cp:lastPrinted>2025-01-15T20:36:00Z</cp:lastPrinted>
  <dcterms:modified xsi:type="dcterms:W3CDTF">2025-03-19T16:19:44Z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D1375962BFC542E885E86685964C9BE0_13</vt:lpwstr>
  </property>
</Properties>
</file>