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168EB">
      <w:pPr>
        <w:pStyle w:val="3"/>
        <w:bidi w:val="0"/>
        <w:jc w:val="center"/>
        <w:rPr>
          <w:rFonts w:hint="eastAsia"/>
          <w:lang w:val="en-US" w:eastAsia="zh-CN"/>
        </w:rPr>
      </w:pPr>
      <w:r>
        <w:rPr>
          <w:rFonts w:hint="eastAsia"/>
          <w:lang w:val="en-US" w:eastAsia="zh-CN"/>
        </w:rPr>
        <w:t>开江－东部经开区输气管道工程</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20"/>
        <w:gridCol w:w="1321"/>
        <w:gridCol w:w="805"/>
        <w:gridCol w:w="1097"/>
        <w:gridCol w:w="2735"/>
        <w:gridCol w:w="6363"/>
      </w:tblGrid>
      <w:tr w14:paraId="6E46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6F0A0B61">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序号</w:t>
            </w:r>
          </w:p>
        </w:tc>
        <w:tc>
          <w:tcPr>
            <w:tcW w:w="395" w:type="pct"/>
            <w:vAlign w:val="center"/>
          </w:tcPr>
          <w:p w14:paraId="7859839C">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项目名称</w:t>
            </w:r>
          </w:p>
        </w:tc>
        <w:tc>
          <w:tcPr>
            <w:tcW w:w="466" w:type="pct"/>
            <w:vAlign w:val="center"/>
          </w:tcPr>
          <w:p w14:paraId="21A40C8B">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建设地点</w:t>
            </w:r>
          </w:p>
        </w:tc>
        <w:tc>
          <w:tcPr>
            <w:tcW w:w="284" w:type="pct"/>
            <w:vAlign w:val="center"/>
          </w:tcPr>
          <w:p w14:paraId="47C486DE">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建设单位</w:t>
            </w:r>
          </w:p>
        </w:tc>
        <w:tc>
          <w:tcPr>
            <w:tcW w:w="387" w:type="pct"/>
            <w:vAlign w:val="center"/>
          </w:tcPr>
          <w:p w14:paraId="08C4D54D">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环境影响评价机构</w:t>
            </w:r>
          </w:p>
        </w:tc>
        <w:tc>
          <w:tcPr>
            <w:tcW w:w="965" w:type="pct"/>
            <w:vAlign w:val="center"/>
          </w:tcPr>
          <w:p w14:paraId="6CD18718">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项目概况</w:t>
            </w:r>
          </w:p>
        </w:tc>
        <w:tc>
          <w:tcPr>
            <w:tcW w:w="2245" w:type="pct"/>
            <w:shd w:val="clear" w:color="auto" w:fill="auto"/>
            <w:vAlign w:val="center"/>
          </w:tcPr>
          <w:p w14:paraId="2D156F3D">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主要环境影响及预防或者减轻不良环境影响的对策和措施</w:t>
            </w:r>
          </w:p>
        </w:tc>
      </w:tr>
      <w:tr w14:paraId="4D72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0CC113C8">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395" w:type="pct"/>
            <w:vAlign w:val="center"/>
          </w:tcPr>
          <w:p w14:paraId="34D801DC">
            <w:pPr>
              <w:jc w:val="both"/>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开江</w:t>
            </w:r>
            <w:r>
              <w:rPr>
                <w:rFonts w:hint="eastAsia" w:ascii="Times New Roman" w:hAnsi="Times New Roman" w:eastAsia="宋体" w:cs="Times New Roman"/>
                <w:vertAlign w:val="baseline"/>
                <w:lang w:val="en-US" w:eastAsia="zh-CN"/>
              </w:rPr>
              <w:t>－</w:t>
            </w:r>
            <w:r>
              <w:rPr>
                <w:rFonts w:hint="default" w:ascii="Times New Roman" w:hAnsi="Times New Roman" w:eastAsia="宋体" w:cs="Times New Roman"/>
                <w:vertAlign w:val="baseline"/>
                <w:lang w:val="en-US" w:eastAsia="zh-CN"/>
              </w:rPr>
              <w:t>东部经开区输气管道工程</w:t>
            </w:r>
          </w:p>
        </w:tc>
        <w:tc>
          <w:tcPr>
            <w:tcW w:w="466" w:type="pct"/>
            <w:vAlign w:val="center"/>
          </w:tcPr>
          <w:p w14:paraId="2DFB2824">
            <w:pPr>
              <w:jc w:val="both"/>
              <w:rPr>
                <w:rFonts w:hint="default" w:ascii="Times New Roman" w:hAnsi="Times New Roman" w:eastAsia="宋体" w:cs="Times New Roman"/>
                <w:vertAlign w:val="baseline"/>
                <w:lang w:val="en-US" w:eastAsia="zh-CN"/>
              </w:rPr>
            </w:pPr>
            <w:r>
              <w:rPr>
                <w:rFonts w:hint="default" w:ascii="Times New Roman" w:hAnsi="Times New Roman" w:eastAsia="宋体" w:cs="Times New Roman"/>
                <w:color w:val="auto"/>
              </w:rPr>
              <w:t>本项目起点为中石油西南油气田分公司输气管理处南屏线讲治阀室下游约1.7km处，就近新建甘棠分输站；终点为达州东部经济开发区麻柳智造城园区北侧拟建的麻柳配气站。</w:t>
            </w:r>
          </w:p>
        </w:tc>
        <w:tc>
          <w:tcPr>
            <w:tcW w:w="284" w:type="pct"/>
            <w:vAlign w:val="center"/>
          </w:tcPr>
          <w:p w14:paraId="5506BE01">
            <w:pPr>
              <w:jc w:val="both"/>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达州市经开能源有限公司</w:t>
            </w:r>
          </w:p>
        </w:tc>
        <w:tc>
          <w:tcPr>
            <w:tcW w:w="387" w:type="pct"/>
            <w:vAlign w:val="center"/>
          </w:tcPr>
          <w:p w14:paraId="2B4867C9">
            <w:pPr>
              <w:jc w:val="both"/>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四川省众诚瀚蓝科技有限公司</w:t>
            </w:r>
          </w:p>
        </w:tc>
        <w:tc>
          <w:tcPr>
            <w:tcW w:w="965" w:type="pct"/>
            <w:vAlign w:val="center"/>
          </w:tcPr>
          <w:p w14:paraId="486A4A5A">
            <w:pPr>
              <w:jc w:val="both"/>
              <w:rPr>
                <w:rFonts w:hint="default" w:ascii="Times New Roman" w:hAnsi="Times New Roman" w:eastAsia="宋体" w:cs="Times New Roman"/>
                <w:vertAlign w:val="baseline"/>
                <w:lang w:val="en-US" w:eastAsia="zh-CN"/>
              </w:rPr>
            </w:pPr>
            <w:r>
              <w:rPr>
                <w:rFonts w:hint="default" w:ascii="Times New Roman" w:hAnsi="Times New Roman" w:eastAsia="宋体" w:cs="Times New Roman"/>
                <w:color w:val="auto"/>
              </w:rPr>
              <w:t>本项目起点为中石油西南油气田分公司输气管理处南屏线讲治阀室下游约1.7km处，就近新建甘棠分输站；终点为达州东部经济开发区麻柳智造城园区北侧拟建的麻柳配气站。管道自甘棠分输站出站后向西北方向敷设，经甘棠镇、新宁镇、安仁乡、麻柳镇到达麻柳配气站，管道设计压7.0MPa，设计规模15×10</w:t>
            </w:r>
            <w:r>
              <w:rPr>
                <w:rFonts w:hint="default" w:ascii="Times New Roman" w:hAnsi="Times New Roman" w:eastAsia="宋体" w:cs="Times New Roman"/>
                <w:color w:val="auto"/>
                <w:vertAlign w:val="superscript"/>
              </w:rPr>
              <w:t>8</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/a，线路长度约31.1km。</w:t>
            </w:r>
            <w:r>
              <w:rPr>
                <w:rFonts w:hint="default" w:ascii="Times New Roman" w:hAnsi="Times New Roman" w:eastAsia="宋体" w:cs="Times New Roman"/>
                <w:color w:val="auto"/>
                <w:lang w:val="en-US" w:eastAsia="zh-CN"/>
              </w:rPr>
              <w:t>项目总投资31904.93</w:t>
            </w:r>
            <w:r>
              <w:rPr>
                <w:rFonts w:hint="default" w:ascii="Times New Roman" w:hAnsi="Times New Roman" w:eastAsia="宋体" w:cs="Times New Roman"/>
                <w:color w:val="auto"/>
              </w:rPr>
              <w:t>万元</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其中环保投资</w:t>
            </w:r>
            <w:r>
              <w:rPr>
                <w:rFonts w:hint="default" w:ascii="Times New Roman" w:hAnsi="Times New Roman" w:eastAsia="宋体" w:cs="Times New Roman"/>
                <w:color w:val="auto"/>
                <w:lang w:val="en-US" w:eastAsia="zh-CN"/>
              </w:rPr>
              <w:t>135</w:t>
            </w:r>
            <w:r>
              <w:rPr>
                <w:rFonts w:hint="default" w:ascii="Times New Roman" w:hAnsi="Times New Roman" w:eastAsia="宋体" w:cs="Times New Roman"/>
                <w:color w:val="auto"/>
              </w:rPr>
              <w:t>万元</w:t>
            </w:r>
            <w:r>
              <w:rPr>
                <w:rFonts w:hint="default" w:ascii="Times New Roman" w:hAnsi="Times New Roman" w:eastAsia="宋体" w:cs="Times New Roman"/>
                <w:color w:val="auto"/>
                <w:lang w:eastAsia="zh-CN"/>
              </w:rPr>
              <w:t>。</w:t>
            </w:r>
          </w:p>
        </w:tc>
        <w:tc>
          <w:tcPr>
            <w:tcW w:w="2245" w:type="pct"/>
            <w:shd w:val="clear" w:color="auto" w:fill="auto"/>
            <w:vAlign w:val="center"/>
          </w:tcPr>
          <w:p w14:paraId="458B10D5">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一、施工期环境保护措施</w:t>
            </w:r>
          </w:p>
          <w:p w14:paraId="658C4FA5">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（1）废气</w:t>
            </w:r>
          </w:p>
          <w:p w14:paraId="203E0D29">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施工扬尘通过湿法作业、洒水抑尘、物料覆盖、限速行驶、大风天停止施工作业等措施降低地表开挖和物料运输产生的扬尘污染。焊接烟尘具有排放量小、间断分散的特点，对周边大气环境影响较小。施工机械</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柴油机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排放尾气通过加强机械保养、配备消烟除尘设备、使用合格油品等措施降低对环境的影响。</w:t>
            </w:r>
          </w:p>
          <w:p w14:paraId="2E74E6CD">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（2）废水</w:t>
            </w:r>
          </w:p>
          <w:p w14:paraId="596B20C7">
            <w:pPr>
              <w:pStyle w:val="7"/>
              <w:shd w:val="clear" w:color="auto" w:fill="FFFFFF"/>
              <w:spacing w:before="0" w:beforeAutospacing="0" w:after="0" w:afterAutospacing="0" w:line="300" w:lineRule="atLeast"/>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施工废水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基坑废水、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站</w:t>
            </w:r>
            <w:r>
              <w:rPr>
                <w:rFonts w:hint="default" w:ascii="Times New Roman" w:hAnsi="Times New Roman" w:eastAsia="宋体" w:cs="Times New Roman"/>
                <w:color w:val="000000" w:themeColor="text1"/>
                <w:sz w:val="21"/>
                <w:szCs w:val="21"/>
                <w14:textFill>
                  <w14:solidFill>
                    <w14:schemeClr w14:val="tx1"/>
                  </w14:solidFill>
                </w14:textFill>
              </w:rPr>
              <w:t>场机械设备冲洗废水等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经移动式隔油沉淀池沉淀处理后，上清液循环使用或回用于施工场地的洒水抑尘，不外排；大开挖施工过程中设置围堰将施工区域与河流其他部分隔开，并将围堰中水抽出，沉淀后排入下游</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试压废水经简易沉淀后回用于施工场地洒水抑尘，不外排。生活废水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施工队伍的吃住依托当地的旅馆</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饭店</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w:t>
            </w:r>
            <w:r>
              <w:rPr>
                <w:rFonts w:hint="default" w:ascii="Times New Roman" w:hAnsi="Times New Roman" w:eastAsia="宋体" w:cs="Times New Roman"/>
                <w:color w:val="000000" w:themeColor="text1"/>
                <w:sz w:val="21"/>
                <w:szCs w:val="21"/>
                <w14:textFill>
                  <w14:solidFill>
                    <w14:schemeClr w14:val="tx1"/>
                  </w14:solidFill>
                </w14:textFill>
              </w:rPr>
              <w:t>当地民居吃住，不单独设置施工营地，生活污水依托附近农户旱厕不外排</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施工人员在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饮用水</w:t>
            </w:r>
            <w:r>
              <w:rPr>
                <w:rFonts w:hint="default" w:ascii="Times New Roman" w:hAnsi="Times New Roman" w:eastAsia="宋体" w:cs="Times New Roman"/>
                <w:color w:val="000000" w:themeColor="text1"/>
                <w:sz w:val="21"/>
                <w:szCs w:val="21"/>
                <w14:textFill>
                  <w14:solidFill>
                    <w14:schemeClr w14:val="tx1"/>
                  </w14:solidFill>
                </w14:textFill>
              </w:rPr>
              <w:t>保护区内施工作业时，施工单位配套移动式厕所，每日施工结束后在保护区内产生的生活污水运至保护区外排放至周围农户旱厕中，处理后用于农田施肥，不外排。</w:t>
            </w:r>
          </w:p>
          <w:p w14:paraId="164303A0">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（3）噪声</w:t>
            </w:r>
          </w:p>
          <w:p w14:paraId="378D4061">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合理安排施工时间，禁止夜间及中午休息时间施工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优化施工现场布局，将施工噪声源布置远离周边农户</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选用符合国家标准的低噪声设备，并加强对设备的维修保养，同时采取基础减震、隔声等措施，加强维修养护</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施工沿线居民集中点设挡声板，抑制噪声对周边居民的影响</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合理安排施工运输车辆的行走路线和行走时间，尽量减少鸣笛，车辆运行线路尽量避开居民区。</w:t>
            </w:r>
          </w:p>
          <w:p w14:paraId="2170CCB0">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（4）固废</w:t>
            </w:r>
          </w:p>
          <w:p w14:paraId="4B49AB39">
            <w:pPr>
              <w:pStyle w:val="7"/>
              <w:shd w:val="clear" w:color="auto" w:fill="FFFFFF"/>
              <w:spacing w:before="0" w:beforeAutospacing="0" w:after="0" w:afterAutospacing="0" w:line="300" w:lineRule="atLeast"/>
              <w:ind w:firstLine="405"/>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本项目开挖的土石方优先回填，余方运至合规的建筑弃渣填埋场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施工废料可回收的部分全部由废品收购方回收处理，剩余废料及时交相关处置单位妥善处置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道路施工产生的建筑废渣运至合规建筑弃渣填埋场处置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废弃泥浆经干化后委外手续齐全且有处理能力的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单位</w:t>
            </w:r>
            <w:r>
              <w:rPr>
                <w:rFonts w:hint="default" w:ascii="Times New Roman" w:hAnsi="Times New Roman" w:eastAsia="宋体" w:cs="Times New Roman"/>
                <w:color w:val="000000" w:themeColor="text1"/>
                <w:sz w:val="21"/>
                <w:szCs w:val="21"/>
                <w14:textFill>
                  <w14:solidFill>
                    <w14:schemeClr w14:val="tx1"/>
                  </w14:solidFill>
                </w14:textFill>
              </w:rPr>
              <w:t>综合利用</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废油脂收集后及时交由具有危废资质单位处理</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生活垃圾集中收集后依托当地环保部门统一处置。</w:t>
            </w:r>
          </w:p>
          <w:p w14:paraId="3F36CAA1">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（5）生态治理措施</w:t>
            </w:r>
          </w:p>
          <w:p w14:paraId="3C5BB990">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施工过程中加强施工管理，严格控制施工作业带范围，施工活动控制在施工区域内，尽可能缩小施工作业带宽度，降低对土壤扰动和地表植被破坏及裸地和土方暴露面积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合理安排施工时间及工序，提高施工效率</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优化施工方案，因地制宜选择施工季节，尽量避开农作物的生长和收获期及鸟类的繁殖季</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做好表土</w:t>
            </w:r>
            <w:r>
              <w:rPr>
                <w:rFonts w:hint="eastAsia" w:ascii="Times New Roman" w:hAnsi="Times New Roman" w:eastAsia="宋体" w:cs="Times New Roman"/>
                <w:color w:val="000000" w:themeColor="text1"/>
                <w:sz w:val="21"/>
                <w:szCs w:val="21"/>
                <w:lang w:eastAsia="zh-CN"/>
                <w14:textFill>
                  <w14:solidFill>
                    <w14:schemeClr w14:val="tx1"/>
                  </w14:solidFill>
                </w14:textFill>
              </w:rPr>
              <w:t>剥离</w:t>
            </w:r>
            <w:r>
              <w:rPr>
                <w:rFonts w:hint="default" w:ascii="Times New Roman" w:hAnsi="Times New Roman" w:eastAsia="宋体" w:cs="Times New Roman"/>
                <w:color w:val="000000" w:themeColor="text1"/>
                <w:sz w:val="21"/>
                <w:szCs w:val="21"/>
                <w14:textFill>
                  <w14:solidFill>
                    <w14:schemeClr w14:val="tx1"/>
                  </w14:solidFill>
                </w14:textFill>
              </w:rPr>
              <w:t>和收集堆放，并用防雨布遮挡，避免施工中雨水冲刷导致的水土流失</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管道施工过程中对农业熟化土壤采用人工开挖，实行分层开挖、分层堆放和分层回填</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管道焊接时焊缝下铺耐高温的挡板，产生的废焊渣和废焊条全部收集，防止污染土壤</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施工结束后要及时对临时占地进行植被恢复工作，根据因地制宜的原则视沿线具体情况实施，施工临时占用地上无法恢复的植被，可以进行异地补偿</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加强对施工人员教育和管理，禁止捕捞鱼类等各种水生生物</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施工人员、施工车辆以及各种设备应按规定的路线行驶、操作，不得随意破坏道路等设施</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施工过程中，文明施工，有序作业，减少临时占地面积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管线占用永久基本农田的路段，应尽快办理管线工程部分永久基本农田征、占用手续，在未取得相关手续之前不得建设</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及时申请用地编制土地复垦方案，复垦方案需要求</w:t>
            </w:r>
            <w:r>
              <w:rPr>
                <w:rFonts w:hint="eastAsia" w:ascii="Times New Roman" w:hAnsi="Times New Roman" w:eastAsia="宋体" w:cs="Times New Roman"/>
                <w:color w:val="000000" w:themeColor="text1"/>
                <w:sz w:val="21"/>
                <w:szCs w:val="21"/>
                <w:lang w:eastAsia="zh-CN"/>
                <w14:textFill>
                  <w14:solidFill>
                    <w14:schemeClr w14:val="tx1"/>
                  </w14:solidFill>
                </w14:textFill>
              </w:rPr>
              <w:t>永久</w:t>
            </w:r>
            <w:r>
              <w:rPr>
                <w:rFonts w:hint="default" w:ascii="Times New Roman" w:hAnsi="Times New Roman" w:eastAsia="宋体" w:cs="Times New Roman"/>
                <w:color w:val="000000" w:themeColor="text1"/>
                <w:sz w:val="21"/>
                <w:szCs w:val="21"/>
                <w14:textFill>
                  <w14:solidFill>
                    <w14:schemeClr w14:val="tx1"/>
                  </w14:solidFill>
                </w14:textFill>
              </w:rPr>
              <w:t>基本农田在用地手续到期后及时开展复垦</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尽量不占或少占林地，加强对生态公益林的保护，制止破坏林地、林木的行为、清除可能的火灾隐患</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临时使用林地需制定原地恢复林业生产条件方案，临时使用林地期满后，需满足植被恢复种植要求，并通知林业管理部门会同有关行业管理部门验收，并交付使用</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在饮用水保护区施工作业过程中，严禁弃土、弃渣和废水进入饮用水源</w:t>
            </w:r>
            <w:r>
              <w:rPr>
                <w:rFonts w:hint="default" w:ascii="Times New Roman" w:hAnsi="Times New Roman" w:eastAsia="宋体" w:cs="Times New Roman"/>
                <w:color w:val="000000" w:themeColor="text1"/>
                <w:sz w:val="21"/>
                <w:szCs w:val="21"/>
                <w14:textFill>
                  <w14:solidFill>
                    <w14:schemeClr w14:val="tx1"/>
                  </w14:solidFill>
                </w14:textFill>
              </w:rPr>
              <w:t>。</w:t>
            </w:r>
          </w:p>
          <w:p w14:paraId="537772EC">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二、营运期环境保护措施</w:t>
            </w:r>
          </w:p>
          <w:p w14:paraId="102FA864">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（1）废气</w:t>
            </w:r>
          </w:p>
          <w:p w14:paraId="231727DA">
            <w:pPr>
              <w:pStyle w:val="7"/>
              <w:shd w:val="clear" w:color="auto" w:fill="FFFFFF"/>
              <w:spacing w:before="0" w:beforeAutospacing="0" w:after="0" w:afterAutospacing="0" w:line="300" w:lineRule="atLeast"/>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管线封闭运行，正常运营过程中不会产生废气。非正常工况下清管、超压和事故检修排放少量天然气，站场检修、清管等非正常工况下天然气通过站场设置的放空管直接放空；事故放空时，放空天然气实施点火燃烧后排放</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甘棠分输</w:t>
            </w:r>
            <w:r>
              <w:rPr>
                <w:rFonts w:hint="eastAsia" w:ascii="Times New Roman" w:hAnsi="Times New Roman" w:eastAsia="宋体" w:cs="Times New Roman"/>
                <w:color w:val="000000" w:themeColor="text1"/>
                <w:sz w:val="21"/>
                <w:szCs w:val="21"/>
                <w:lang w:eastAsia="zh-CN"/>
                <w14:textFill>
                  <w14:solidFill>
                    <w14:schemeClr w14:val="tx1"/>
                  </w14:solidFill>
                </w14:textFill>
              </w:rPr>
              <w:t>站</w:t>
            </w:r>
            <w:r>
              <w:rPr>
                <w:rFonts w:hint="default" w:ascii="Times New Roman" w:hAnsi="Times New Roman" w:eastAsia="宋体" w:cs="Times New Roman"/>
                <w:color w:val="000000" w:themeColor="text1"/>
                <w:sz w:val="21"/>
                <w:szCs w:val="21"/>
                <w14:textFill>
                  <w14:solidFill>
                    <w14:schemeClr w14:val="tx1"/>
                  </w14:solidFill>
                </w14:textFill>
              </w:rPr>
              <w:t>外设置1套放空火炬系统、麻柳配气站站外设置1座放空立管</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p w14:paraId="5E0148D3">
            <w:pPr>
              <w:pStyle w:val="7"/>
              <w:shd w:val="clear" w:color="auto" w:fill="FFFFFF"/>
              <w:spacing w:before="0" w:beforeAutospacing="0" w:after="0" w:afterAutospacing="0" w:line="300" w:lineRule="atLeast"/>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（2）废水</w:t>
            </w:r>
          </w:p>
          <w:p w14:paraId="4389C8AA">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营期产生的废水主要为气液分离水、清管废水、检修废水等生产废水以及甘棠分输站和麻柳配气站值守人员产生的少量生活污水。甘棠分输站和麻柳配气站站内综合值班室旁分别设1座1.5m³隔油罐和1座20m³生活污水预处理池，厨房排出的生活污水经隔油罐预处理后与卫生间排出的生活污水汇合后排至生活污水预处理池预处理并储存，由罐车外运市政污水处理厂处置或交予附近村民用作农肥；气液分离水、清管废水、检修废水等经管道收集重力流进入污水罐</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有效容积10m³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收集后，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委托</w:t>
            </w:r>
            <w:r>
              <w:rPr>
                <w:rFonts w:hint="default" w:ascii="Times New Roman" w:hAnsi="Times New Roman" w:eastAsia="宋体" w:cs="Times New Roman"/>
                <w:color w:val="000000" w:themeColor="text1"/>
                <w:sz w:val="21"/>
                <w:szCs w:val="21"/>
                <w14:textFill>
                  <w14:solidFill>
                    <w14:schemeClr w14:val="tx1"/>
                  </w14:solidFill>
                </w14:textFill>
              </w:rPr>
              <w:t>手续齐全且有处理能力的污水处理厂处理。</w:t>
            </w:r>
          </w:p>
          <w:p w14:paraId="1AF99831">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（3）噪声</w:t>
            </w:r>
          </w:p>
          <w:p w14:paraId="0138A203">
            <w:pPr>
              <w:pStyle w:val="7"/>
              <w:shd w:val="clear" w:color="auto" w:fill="FFFFFF"/>
              <w:spacing w:before="0" w:beforeAutospacing="0" w:after="0" w:afterAutospacing="0" w:line="300" w:lineRule="atLeast"/>
              <w:ind w:firstLine="405"/>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站场合理布局，控制气体流速，并在工艺设计中考虑减少站场工艺管道的弯头、三通等管件的使用减小对周围居民等声环境敏感点的影响</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14:paraId="404CA4C5">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（4）固体废物</w:t>
            </w:r>
          </w:p>
          <w:p w14:paraId="20D0FC43">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本项目运营期产生的固废主要为检修废渣、清管废渣和废矿物油、含矿物油废物、废含油手套及厨房</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产生的</w:t>
            </w:r>
            <w:r>
              <w:rPr>
                <w:rFonts w:hint="default" w:ascii="Times New Roman" w:hAnsi="Times New Roman" w:eastAsia="宋体" w:cs="Times New Roman"/>
                <w:color w:val="000000" w:themeColor="text1"/>
                <w:sz w:val="21"/>
                <w:szCs w:val="21"/>
                <w14:textFill>
                  <w14:solidFill>
                    <w14:schemeClr w14:val="tx1"/>
                  </w14:solidFill>
                </w14:textFill>
              </w:rPr>
              <w:t>废油脂</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14:textFill>
                  <w14:solidFill>
                    <w14:schemeClr w14:val="tx1"/>
                  </w14:solidFill>
                </w14:textFill>
              </w:rPr>
              <w:t>少量生活垃圾。检修废渣和清管废渣场内统一收集后，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委托</w:t>
            </w:r>
            <w:r>
              <w:rPr>
                <w:rFonts w:hint="default" w:ascii="Times New Roman" w:hAnsi="Times New Roman" w:eastAsia="宋体" w:cs="Times New Roman"/>
                <w:color w:val="000000" w:themeColor="text1"/>
                <w:sz w:val="21"/>
                <w:szCs w:val="21"/>
                <w14:textFill>
                  <w14:solidFill>
                    <w14:schemeClr w14:val="tx1"/>
                  </w14:solidFill>
                </w14:textFill>
              </w:rPr>
              <w:t>手续齐全且有处理能力的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单位</w:t>
            </w:r>
            <w:r>
              <w:rPr>
                <w:rFonts w:hint="default" w:ascii="Times New Roman" w:hAnsi="Times New Roman" w:eastAsia="宋体" w:cs="Times New Roman"/>
                <w:color w:val="000000" w:themeColor="text1"/>
                <w:sz w:val="21"/>
                <w:szCs w:val="21"/>
                <w14:textFill>
                  <w14:solidFill>
                    <w14:schemeClr w14:val="tx1"/>
                  </w14:solidFill>
                </w14:textFill>
              </w:rPr>
              <w:t>综合利用</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废矿物油、含矿物油废物、废含油手套等经桶装收集后暂存于新建站场的危废暂存间内，定期委托具有危险废物经营许可证的单位处置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厨房隔油罐隔离出来的废油脂统一交由处理许可资质的单位收集处理</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值守人员产生的生活垃圾经站内垃圾桶袋装收集后交由当地环卫部门统一清运处理。</w:t>
            </w:r>
          </w:p>
          <w:p w14:paraId="36DF2F63">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（5）地下水</w:t>
            </w:r>
          </w:p>
          <w:p w14:paraId="21D2F7E0">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输气管道在地下进行密闭输送，且采用外防腐层和强制电流阴极保护联合方式，降低泄漏事故发生。按照“源头控制、分区防控、污染监控、应急响应”相结合的原则，将气液分离污水罐下方区域划为重点防渗区，并采取相应防渗措施，防止污染地下水。</w:t>
            </w:r>
          </w:p>
          <w:p w14:paraId="000456A9">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（6）生态环境影响</w:t>
            </w:r>
          </w:p>
          <w:p w14:paraId="1FE29141">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护好项目区植被恢复成效，在管线沿线区域加强对临时占地区域的植被恢复工程的保护，及时补种植被，防止新的水土流失情况发生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施工活动结束植被进入恢复期，应尽量减少对这些地段的干扰活动</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加强巡线人员的管理及生态环境保护知识的宣传，禁止巡线人员对管道沿线植被的滥伐，禁止乱扔垃圾，禁止破坏和随意践踏已恢复或正在恢复中的植被。</w:t>
            </w:r>
          </w:p>
          <w:p w14:paraId="63731CFC">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三、环境风险</w:t>
            </w:r>
          </w:p>
          <w:p w14:paraId="5518A102">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通过前期管线路由优化选择，尽量避开居民区以及复杂地质段及密集林区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强化施工过程的事故防范措施</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泄漏管段两端截断阀自动关闭，与泄漏管段紧邻管段内的天然气通过放空立管放空，可确保紧急情况下天然气气源切断降低环境风险</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运行阶段建立完善的应急管理制度，定期巡线，确保环境安全。</w:t>
            </w:r>
          </w:p>
          <w:p w14:paraId="149A0063">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四、公众参与情况</w:t>
            </w:r>
          </w:p>
          <w:p w14:paraId="52DA4528">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项目进行了三次网络公示、两次报纸公示及现场张贴公示，均未收到反对意见。</w:t>
            </w:r>
          </w:p>
          <w:p w14:paraId="7EA7432E">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五、其他部门意见</w:t>
            </w:r>
          </w:p>
          <w:p w14:paraId="100B82A6">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1、四川省林业和草原局出具的《关于开江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东部经开区输气管道工程占用林地的行政许可决定》（川林资许准（达）</w:t>
            </w:r>
            <w:r>
              <w:rPr>
                <w:rFonts w:hint="eastAsia" w:ascii="Times New Roman" w:hAnsi="Times New Roman" w:eastAsia="宋体" w:cs="Times New Roman"/>
                <w:color w:val="000000" w:themeColor="text1"/>
                <w:sz w:val="21"/>
                <w:szCs w:val="21"/>
                <w:lang w:eastAsia="zh-CN"/>
                <w14:textFill>
                  <w14:solidFill>
                    <w14:schemeClr w14:val="tx1"/>
                  </w14:solidFill>
                </w14:textFill>
              </w:rPr>
              <w:t>〔2024〕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eastAsia="zh-CN"/>
                <w14:textFill>
                  <w14:solidFill>
                    <w14:schemeClr w14:val="tx1"/>
                  </w14:solidFill>
                </w14:textFill>
              </w:rPr>
              <w:t>36号</w:t>
            </w:r>
            <w:r>
              <w:rPr>
                <w:rFonts w:hint="default" w:ascii="Times New Roman" w:hAnsi="Times New Roman" w:eastAsia="宋体" w:cs="Times New Roman"/>
                <w:color w:val="000000" w:themeColor="text1"/>
                <w:sz w:val="21"/>
                <w:szCs w:val="21"/>
                <w14:textFill>
                  <w14:solidFill>
                    <w14:schemeClr w14:val="tx1"/>
                  </w14:solidFill>
                </w14:textFill>
              </w:rPr>
              <w:t>）；</w:t>
            </w:r>
          </w:p>
          <w:p w14:paraId="45A09B3F">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2、达州市林业局《关于准予开江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东部经开区输气管道工程临时使用林地的行政许可决定》（达林地许（临）字</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〔2024〕39号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14:paraId="202E0B40">
            <w:pPr>
              <w:pStyle w:val="7"/>
              <w:shd w:val="clear" w:color="auto" w:fill="FFFFFF"/>
              <w:spacing w:before="0" w:beforeAutospacing="0" w:after="0" w:afterAutospacing="0" w:line="300" w:lineRule="atLeast"/>
              <w:ind w:firstLine="405" w:firstLineChars="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达州市自然资源和规划局东部经开区分区《关于开江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东部经开区输气管道工程线路路由及场站选址的复函》</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14:paraId="45C19E4D">
            <w:pPr>
              <w:pStyle w:val="7"/>
              <w:shd w:val="clear" w:color="auto" w:fill="FFFFFF"/>
              <w:spacing w:before="0" w:beforeAutospacing="0" w:after="0" w:afterAutospacing="0" w:line="300" w:lineRule="atLeast"/>
              <w:ind w:firstLine="405" w:firstLineChars="0"/>
              <w:jc w:val="both"/>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达州市人民政府出具的《关于开江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东部经开区输气管道工程穿越开江县甘棠镇明月江大石门集中式饮用水水源地二级保护区的批复》（达市府函</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〔2024〕141号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bl>
    <w:p w14:paraId="74358AF9">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mQyMzM4NzI5NDc5YjgxZTc1ZDllYWFkMDdjMDgifQ=="/>
  </w:docVars>
  <w:rsids>
    <w:rsidRoot w:val="78074F20"/>
    <w:rsid w:val="00FE5DE6"/>
    <w:rsid w:val="073065CD"/>
    <w:rsid w:val="074B78AB"/>
    <w:rsid w:val="0B224DC6"/>
    <w:rsid w:val="0BA362FA"/>
    <w:rsid w:val="0C522E45"/>
    <w:rsid w:val="10E01064"/>
    <w:rsid w:val="12275329"/>
    <w:rsid w:val="129640D0"/>
    <w:rsid w:val="16695657"/>
    <w:rsid w:val="174E2527"/>
    <w:rsid w:val="1A732F49"/>
    <w:rsid w:val="1AC94917"/>
    <w:rsid w:val="1BC17CE4"/>
    <w:rsid w:val="1CB03FE0"/>
    <w:rsid w:val="238B30B1"/>
    <w:rsid w:val="2B146082"/>
    <w:rsid w:val="2FF4368A"/>
    <w:rsid w:val="31C80566"/>
    <w:rsid w:val="35A26038"/>
    <w:rsid w:val="36745C27"/>
    <w:rsid w:val="3CA52FDE"/>
    <w:rsid w:val="3EC55271"/>
    <w:rsid w:val="410305B7"/>
    <w:rsid w:val="475573AE"/>
    <w:rsid w:val="48CE566A"/>
    <w:rsid w:val="4A05330E"/>
    <w:rsid w:val="4B3D3C6B"/>
    <w:rsid w:val="4D8B58D8"/>
    <w:rsid w:val="50F36265"/>
    <w:rsid w:val="51861FD1"/>
    <w:rsid w:val="5543538C"/>
    <w:rsid w:val="576A7FB9"/>
    <w:rsid w:val="57C874F8"/>
    <w:rsid w:val="59875AED"/>
    <w:rsid w:val="59C53F20"/>
    <w:rsid w:val="5CC83350"/>
    <w:rsid w:val="5EE70DDC"/>
    <w:rsid w:val="60D652AA"/>
    <w:rsid w:val="638C4463"/>
    <w:rsid w:val="647D3BAE"/>
    <w:rsid w:val="6579460B"/>
    <w:rsid w:val="6CCA0677"/>
    <w:rsid w:val="73481990"/>
    <w:rsid w:val="78074F20"/>
    <w:rsid w:val="79DD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Body Text Indent"/>
    <w:basedOn w:val="1"/>
    <w:next w:val="1"/>
    <w:qFormat/>
    <w:uiPriority w:val="0"/>
    <w:pPr>
      <w:spacing w:after="120"/>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2"/>
    <w:basedOn w:val="6"/>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3160</Words>
  <Characters>3227</Characters>
  <Lines>0</Lines>
  <Paragraphs>0</Paragraphs>
  <TotalTime>18</TotalTime>
  <ScaleCrop>false</ScaleCrop>
  <LinksUpToDate>false</LinksUpToDate>
  <CharactersWithSpaces>3227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2024-10-28T14:02:00Z</dcterms:created>
  <dc:creator>WHAT</dc:creator>
  <cp:lastModifiedBy>燕七蚂蚁</cp:lastModifiedBy>
  <cp:lastPrinted>2024-10-30T07:12:34Z</cp:lastPrinted>
  <dcterms:modified xsi:type="dcterms:W3CDTF">2024-10-30T07:21:53Z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A0C64726BD164B57BFDDF1CC59B738E7_13</vt:lpwstr>
  </property>
</Properties>
</file>