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936" w:tblpY="2455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00"/>
        <w:gridCol w:w="716"/>
        <w:gridCol w:w="717"/>
        <w:gridCol w:w="646"/>
        <w:gridCol w:w="2268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项目名称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建设地点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建设单位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环境影响评价机构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项目概况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主要环境影响及预防或者减轻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</w:rPr>
              <w:t>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开江县龙泉山煤矿扩建工程项目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四川达州开江县永兴镇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开江县龙泉山煤矿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</w:rPr>
              <w:t>成都嘉卓源环保工程咨询有限责任公司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项目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eastAsia="zh-CN"/>
              </w:rPr>
              <w:t>性质为改扩建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，采矿规模由9万吨/a扩建为30万吨/a，矿区面积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1.5779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km²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批准开采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K8、K6、K5、K4、K3煤层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，</w:t>
            </w:r>
            <w:r>
              <w:rPr>
                <w:rFonts w:hint="eastAsia" w:cs="Times New Roman" w:eastAsiaTheme="minorEastAsia"/>
                <w:lang w:eastAsia="zh-CN"/>
              </w:rPr>
              <w:t>准</w:t>
            </w:r>
            <w:r>
              <w:rPr>
                <w:rFonts w:hint="default" w:ascii="Times New Roman" w:hAnsi="Times New Roman" w:cs="Times New Roman" w:eastAsiaTheme="minorEastAsia"/>
              </w:rPr>
              <w:t>采标高</w:t>
            </w: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+</w:t>
            </w:r>
            <w:r>
              <w:rPr>
                <w:rFonts w:hint="eastAsia" w:cs="Times New Roman" w:eastAsiaTheme="minorEastAsia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00m～+</w:t>
            </w:r>
            <w:r>
              <w:rPr>
                <w:rFonts w:hint="eastAsia" w:cs="Times New Roman" w:eastAsiaTheme="minorEastAsia"/>
                <w:highlight w:val="none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0m</w:t>
            </w:r>
            <w:r>
              <w:rPr>
                <w:rFonts w:hint="eastAsia" w:cs="Times New Roman" w:eastAsiaTheme="minorEastAsia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服务年限6.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a。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工程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扩建后采用平硐开拓方式，矿井共划分1个+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635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m水平，</w:t>
            </w:r>
            <w:r>
              <w:rPr>
                <w:rFonts w:hint="eastAsia" w:cs="Times New Roman" w:eastAsiaTheme="minorEastAsia"/>
                <w:color w:val="auto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shd w:val="clear" w:color="auto" w:fill="FFFFFF"/>
              </w:rPr>
              <w:t>个采区。扩建工程完成后，采用综合机械化采煤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shd w:val="clear" w:color="auto" w:fill="FFFFFF"/>
              </w:rPr>
              <w:t>工艺。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项目利用现有工业场地作为扩建后的工业场地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shd w:val="clear" w:color="auto" w:fill="FFFFFF"/>
              </w:rPr>
              <w:t>不新增占地</w:t>
            </w:r>
            <w:r>
              <w:rPr>
                <w:rFonts w:hint="eastAsia" w:cs="Times New Roman" w:eastAsiaTheme="minorEastAsia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利用现有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+630.0m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主平硐为扩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建后主平硐，担负全矿所有运输、行人和主要进风任务；利用现有+741.0m南回风平硐作为回风平硐，担负全矿井的回风兼紧急情况下的安全出口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改造利用现有+770.0m进风平硐，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通过进风斜巷与+635m水平运输大巷连通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担负全矿井辅助进风兼安全出口。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新建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2套矿井涌水一体化处理装置、1套生活污水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二级生化处理设施、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全封闭矸石转运仓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矸石翻车机房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、瓦斯抽采泵站、综采库。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zh-CN"/>
              </w:rPr>
              <w:t>项目总投资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98.56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zh-CN"/>
              </w:rPr>
              <w:t>，其中环保投资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160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zh-CN"/>
              </w:rPr>
              <w:t>万元，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占总投资的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CN"/>
              </w:rPr>
              <w:t>%。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一、施工期环境保护措施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（1）废水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机械冲洗水在施工场地进出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口5m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沉淀池处理后回用于场地降尘。井下涌水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地下水仓、地面沉淀池收集处理后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采用“隔油+调节+混凝沉淀过滤+过滤+消毒”处理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达标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后部分用于井下降尘使用，其余处理达标后排入孔子河，汇入新宁河永兴河段。生活污水经过污水处理一体化设备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“格栅+调节+A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O+沉淀+消毒”处理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达标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后抽至高位水池，用于场地降尘，不外排。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（2）废气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采取洒水降尘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限制车速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避免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超高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超载，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封闭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运输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出场车辆清泥除尘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等措施减少粉尘产生，地下施工主要采用湿法作业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auto"/>
              </w:rPr>
              <w:t>，湿式钻孔、冲洗井壁巷帮、水炮泥、爆破喷雾、装岩（煤）洒水和净化风流等防尘措施。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（3）噪声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尽量选用低噪声设备，设置简易的砖混结构厂房隔声。合理安排施工时间，禁止夜间施工；合理安排施工工序，避免大量高噪声设备同时施工。运输车辆限速行驶，控制汽车鸣笛。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（4）固废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地面施工产生土石方用于厂区平整回填；掘进基岩矸石全部回填采空区内，掘进煤矸石优先回填采空区，剩余矸石暂存至矸石转运仓后全部外售砖厂。建筑垃圾回收利用后剩余部分送指定建筑垃圾处理场。生活垃圾经集中收集后由环卫部门统一清运处理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（5）生态治理措施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项目在现有范围内建设，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合理安排施工工期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，严格控制施工范围，减少土壤扰动和地表植被破坏，优化施工方案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减轻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水土流失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施工期结束后须结合区域自然条件，及时对临时占地进行植被恢复，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降低生态环境影响。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二、营运期环境保护措施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（1）废水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矿井涌水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采用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2套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1200m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/d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一体化水处理装置处理，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“隔油+混凝沉淀+过滤+消毒”处理工艺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处理达标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后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回用于井下降尘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地面生产等，其余部分达到《煤炭工业污染物排放标准》（GB20426-2006）表1中有毒污染物排放限值和表2的新建（扩、改）生产线的排放浓度限值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以及《地表水环境质量标准》（GB3838-2002）中III类限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值，且含盐量小于1000mg/L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的限制要求后外排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，同时在排口安装在线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自动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监测设备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食堂废水采用隔油池预处理、厕所粪便水采用化粪池预处理，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和其他生活污水一并进入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一体化处理设备进行处理，采用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“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格栅+调节+A2/O+沉淀+消毒”处理工艺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处理后达到《煤矿井下消防、洒水设计规范》（GB 50383-2016）中“井下消防、洒水水质标准”和《城市污水再生利用城市杂用水水质》（GB/T18920-2020）中相应标准限值要求后，回用于煤场、矸石堆场及矿井降尘等，不外排。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车辆冲洗废水在冲洗平台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一侧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设置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5m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隔油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沉淀池处理后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上清液回用于车辆冲洗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不外排。机修废水经1m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隔油池处理后用于机修间周边区域降尘，不外排。初期雨水经初期雨水池沉淀后回用于场地降尘及矿区绿化用水，不外排。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（2）废气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井下钻孔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湿式作业，并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在井下溜煤眼放煤口等作业地点喷雾洒水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回风巷道设置水幕防尘系统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+741.0m回风平硐井口建固定瓦斯抽采泵站，抽出瓦斯经8m高排气筒排放，泵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站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设置地面固定瓦斯抽采监控系统监控排放情况。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封闭现有储煤场运煤通道并连续喷雾降尘。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加强煤矸石转运工作，减少现有5000m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矸石临时堆场至500m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建设全封闭矸石转运仓及矸石翻车机房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作业时连续喷雾降尘。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控制运矸汽车的装载量，严禁超载，并加盖蓬布；运输道路定期洒水、清扫，减少道路扬尘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车辆出场进行冲洗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现有木工房整改为全封闭式，加工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湿法降尘。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食堂油烟由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油烟净化器收集处理后引至屋顶排放。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（3）噪声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合理布局工业场地，选用低噪声设备，同时对各类设备设置减振基础；坑木加工房夜间停止加工，设置隔声门窗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空压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机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进排气口安装消声器、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通风机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进出风口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安装消声器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设吸声材料设备罩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；泵类、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机修设备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等设备置于室内，利用建筑物隔声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合理安排运输时间，严禁车辆超速超载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确保厂界噪声达标排放。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（4）固体废物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煤矸石由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转运仓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暂存后，全部外售综合利用，不外排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矿井水处理站污泥经压滤脱水后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会原煤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对外销售。生活污水处理站污泥干化后泥饼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生活垃圾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、木工边角料及湿木屑统一收集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后送环卫部门清运处理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。废锂离子电池矿灯定期交厂家回收处置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废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蓄电池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废机油同含油零件及手套抹布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集中收集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分区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暂存于危废暂存间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定期送有资质的单位处置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（5）地下水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坚持“源头控制、分区防治、污染监控、应急响应”的原则，对危废暂存间、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机修车间、油库、矿井涌水处理站、生活污水处理站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等采取重点防渗，防止污染地下水。布设地下水跟踪监测点，对区内地下水水位与水质进行动态监测，一旦发现水位和水质异常，应立刻采取有效措施，避免对周边居民生产生活用水造成影响。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（6）生态环境影响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矿山开采过程中，尽量减小和有效控制对采矿区生态环境的影响范围和程度，禁止越界、越层开采。因地制宜地对各类施工迹地进行绿化恢复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对生产过程中的污染物规范处置，防止造成对爬行类、两栖类动物本身及栖息环境的破坏和污染，加强对职工的监管力度，防止捕食爬行动物、两栖动物。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不再使用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的原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矸石临时堆场进行植被绿化，逐步还林，防止水土流失。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三、环境风险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eastAsia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highlight w:val="none"/>
              </w:rPr>
              <w:t>项目可能产生的环境风险有：矿井涌水处理设施非正常工况下或事故排放、储油库物质泄露。采取的主要防范措施：强化矿井涌水水处理设施</w:t>
            </w:r>
            <w:r>
              <w:rPr>
                <w:rFonts w:hint="eastAsia" w:asci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维护和保养；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设置井下水仓，用于暂存突增矿井涌水</w:t>
            </w:r>
            <w:r>
              <w:rPr>
                <w:rFonts w:hint="eastAsia" w:asci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。储油间地面进行防渗处理，储油库内设置收集沟和收集池，油品储罐下方垫高约10cm，下方设置托盘，油库外设置消防水池、消防沙池、消防栓等灭火设施。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四、公众参与情况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项目进行了两次网络公示、两次报纸公示及现场张贴公示以及一次报批前公示，均未收到反对意见。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五、其他部门意见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sz w:val="21"/>
                <w:szCs w:val="21"/>
              </w:rPr>
              <w:t>1、四川省应急管理厅《四川省应急管理厅关于核准开江县龙泉山煤矿扩建工程项目的函》（川应急审批〔2023〕182号）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VlMzNjZDAwZmU0YjI4MDYyYTcwNjRiYTUzYmFlNDYifQ=="/>
  </w:docVars>
  <w:rsids>
    <w:rsidRoot w:val="00000000"/>
    <w:rsid w:val="0FEF2EDF"/>
    <w:rsid w:val="4348021F"/>
    <w:rsid w:val="499F95F4"/>
    <w:rsid w:val="561D58F1"/>
    <w:rsid w:val="5CFF6D40"/>
    <w:rsid w:val="6B6A2B79"/>
    <w:rsid w:val="6FFF5FAB"/>
    <w:rsid w:val="70CC631B"/>
    <w:rsid w:val="7B7DCBEE"/>
    <w:rsid w:val="7DF5F752"/>
    <w:rsid w:val="ACFDE837"/>
    <w:rsid w:val="BDDD908F"/>
    <w:rsid w:val="D39A8968"/>
    <w:rsid w:val="DBBFFA26"/>
    <w:rsid w:val="DFDFEB2F"/>
    <w:rsid w:val="DFF7FAD1"/>
    <w:rsid w:val="F5FB5463"/>
    <w:rsid w:val="FCF9C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after="120" w:line="360" w:lineRule="auto"/>
      <w:ind w:left="400" w:leftChars="200" w:hanging="200" w:hangingChars="200"/>
    </w:pPr>
    <w:rPr>
      <w:kern w:val="0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2670</Words>
  <Characters>2851</Characters>
  <Lines>109</Lines>
  <Paragraphs>53</Paragraphs>
  <TotalTime>196</TotalTime>
  <ScaleCrop>false</ScaleCrop>
  <LinksUpToDate>false</LinksUpToDate>
  <CharactersWithSpaces>2870</CharactersWithSpaces>
  <Application>WPS Office_11.1.0.11704_F1E327BC-269C-435d-A152-05C5408002CA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2023-08-09T05:36:00Z</dcterms:created>
  <dc:creator>木林之风@</dc:creator>
  <cp:lastModifiedBy>user</cp:lastModifiedBy>
  <dcterms:modified xsi:type="dcterms:W3CDTF">2023-12-22T16:27:58Z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AC149AFB705D44F7B28CE1E878AE6CA5_13</vt:lpwstr>
  </property>
</Properties>
</file>