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1" w:rightFromText="181" w:vertAnchor="text" w:horzAnchor="page" w:tblpXSpec="center" w:tblpY="1"/>
        <w:tblOverlap w:val="never"/>
        <w:tblW w:w="14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
        <w:gridCol w:w="660"/>
        <w:gridCol w:w="690"/>
        <w:gridCol w:w="750"/>
        <w:gridCol w:w="705"/>
        <w:gridCol w:w="2678"/>
        <w:gridCol w:w="8800"/>
      </w:tblGrid>
      <w:tr w14:paraId="27ED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331" w:type="dxa"/>
            <w:tcBorders>
              <w:top w:val="single" w:color="auto" w:sz="4" w:space="0"/>
              <w:left w:val="single" w:color="auto" w:sz="4" w:space="0"/>
              <w:bottom w:val="single" w:color="auto" w:sz="4" w:space="0"/>
              <w:right w:val="single" w:color="auto" w:sz="4" w:space="0"/>
            </w:tcBorders>
            <w:noWrap/>
            <w:vAlign w:val="center"/>
          </w:tcPr>
          <w:p w14:paraId="099A8026">
            <w:pPr>
              <w:adjustRightInd w:val="0"/>
              <w:snapToGrid w:val="0"/>
              <w:jc w:val="center"/>
              <w:rPr>
                <w:b/>
                <w:bCs/>
              </w:rPr>
            </w:pPr>
            <w:r>
              <w:rPr>
                <w:b/>
                <w:bCs/>
              </w:rPr>
              <w:t>序号</w:t>
            </w:r>
          </w:p>
        </w:tc>
        <w:tc>
          <w:tcPr>
            <w:tcW w:w="660" w:type="dxa"/>
            <w:tcBorders>
              <w:top w:val="single" w:color="auto" w:sz="4" w:space="0"/>
              <w:left w:val="single" w:color="auto" w:sz="4" w:space="0"/>
              <w:bottom w:val="single" w:color="auto" w:sz="4" w:space="0"/>
              <w:right w:val="single" w:color="auto" w:sz="4" w:space="0"/>
            </w:tcBorders>
            <w:noWrap/>
            <w:vAlign w:val="center"/>
          </w:tcPr>
          <w:p w14:paraId="18AC3986">
            <w:pPr>
              <w:adjustRightInd w:val="0"/>
              <w:snapToGrid w:val="0"/>
              <w:jc w:val="center"/>
              <w:rPr>
                <w:b/>
                <w:bCs/>
              </w:rPr>
            </w:pPr>
            <w:r>
              <w:rPr>
                <w:b/>
                <w:bCs/>
              </w:rPr>
              <w:t>项目名称</w:t>
            </w:r>
          </w:p>
        </w:tc>
        <w:tc>
          <w:tcPr>
            <w:tcW w:w="690" w:type="dxa"/>
            <w:tcBorders>
              <w:top w:val="single" w:color="auto" w:sz="4" w:space="0"/>
              <w:left w:val="single" w:color="auto" w:sz="4" w:space="0"/>
              <w:bottom w:val="single" w:color="auto" w:sz="4" w:space="0"/>
              <w:right w:val="single" w:color="auto" w:sz="4" w:space="0"/>
            </w:tcBorders>
            <w:noWrap/>
            <w:vAlign w:val="center"/>
          </w:tcPr>
          <w:p w14:paraId="031C368F">
            <w:pPr>
              <w:adjustRightInd w:val="0"/>
              <w:snapToGrid w:val="0"/>
              <w:jc w:val="center"/>
              <w:rPr>
                <w:b/>
                <w:bCs/>
              </w:rPr>
            </w:pPr>
            <w:r>
              <w:rPr>
                <w:b/>
                <w:bCs/>
              </w:rPr>
              <w:t>建设地点</w:t>
            </w:r>
          </w:p>
        </w:tc>
        <w:tc>
          <w:tcPr>
            <w:tcW w:w="750" w:type="dxa"/>
            <w:tcBorders>
              <w:top w:val="single" w:color="auto" w:sz="4" w:space="0"/>
              <w:left w:val="single" w:color="auto" w:sz="4" w:space="0"/>
              <w:bottom w:val="single" w:color="auto" w:sz="4" w:space="0"/>
              <w:right w:val="single" w:color="auto" w:sz="4" w:space="0"/>
            </w:tcBorders>
            <w:noWrap/>
            <w:vAlign w:val="center"/>
          </w:tcPr>
          <w:p w14:paraId="60DEFDA4">
            <w:pPr>
              <w:adjustRightInd w:val="0"/>
              <w:snapToGrid w:val="0"/>
              <w:jc w:val="center"/>
              <w:rPr>
                <w:b/>
                <w:bCs/>
              </w:rPr>
            </w:pPr>
            <w:r>
              <w:rPr>
                <w:b/>
                <w:bCs/>
              </w:rPr>
              <w:t>建设单位</w:t>
            </w:r>
          </w:p>
        </w:tc>
        <w:tc>
          <w:tcPr>
            <w:tcW w:w="705" w:type="dxa"/>
            <w:tcBorders>
              <w:top w:val="single" w:color="auto" w:sz="4" w:space="0"/>
              <w:left w:val="single" w:color="auto" w:sz="4" w:space="0"/>
              <w:bottom w:val="single" w:color="auto" w:sz="4" w:space="0"/>
              <w:right w:val="single" w:color="auto" w:sz="4" w:space="0"/>
            </w:tcBorders>
            <w:noWrap/>
            <w:vAlign w:val="center"/>
          </w:tcPr>
          <w:p w14:paraId="42D1522A">
            <w:pPr>
              <w:adjustRightInd w:val="0"/>
              <w:snapToGrid w:val="0"/>
              <w:jc w:val="center"/>
              <w:rPr>
                <w:b/>
                <w:bCs/>
              </w:rPr>
            </w:pPr>
            <w:r>
              <w:rPr>
                <w:b/>
                <w:bCs/>
              </w:rPr>
              <w:t>环境影响评价机构</w:t>
            </w:r>
          </w:p>
        </w:tc>
        <w:tc>
          <w:tcPr>
            <w:tcW w:w="2678" w:type="dxa"/>
            <w:tcBorders>
              <w:top w:val="single" w:color="auto" w:sz="4" w:space="0"/>
              <w:left w:val="single" w:color="auto" w:sz="4" w:space="0"/>
              <w:bottom w:val="single" w:color="auto" w:sz="4" w:space="0"/>
              <w:right w:val="single" w:color="auto" w:sz="4" w:space="0"/>
            </w:tcBorders>
            <w:noWrap/>
            <w:vAlign w:val="center"/>
          </w:tcPr>
          <w:p w14:paraId="538417C1">
            <w:pPr>
              <w:adjustRightInd w:val="0"/>
              <w:snapToGrid w:val="0"/>
              <w:jc w:val="center"/>
              <w:rPr>
                <w:b/>
                <w:bCs/>
              </w:rPr>
            </w:pPr>
            <w:r>
              <w:rPr>
                <w:b/>
                <w:bCs/>
              </w:rPr>
              <w:t>项目概况</w:t>
            </w:r>
          </w:p>
        </w:tc>
        <w:tc>
          <w:tcPr>
            <w:tcW w:w="8800" w:type="dxa"/>
            <w:tcBorders>
              <w:top w:val="single" w:color="auto" w:sz="4" w:space="0"/>
              <w:left w:val="single" w:color="auto" w:sz="4" w:space="0"/>
              <w:bottom w:val="single" w:color="auto" w:sz="4" w:space="0"/>
              <w:right w:val="single" w:color="auto" w:sz="4" w:space="0"/>
            </w:tcBorders>
            <w:noWrap/>
            <w:vAlign w:val="center"/>
          </w:tcPr>
          <w:p w14:paraId="3EC5982B">
            <w:pPr>
              <w:adjustRightInd w:val="0"/>
              <w:snapToGrid w:val="0"/>
              <w:jc w:val="center"/>
              <w:rPr>
                <w:b/>
                <w:bCs/>
              </w:rPr>
            </w:pPr>
            <w:r>
              <w:rPr>
                <w:b/>
                <w:bCs/>
              </w:rPr>
              <w:t>主要环境影响及预防或者减轻</w:t>
            </w:r>
          </w:p>
          <w:p w14:paraId="4EF8BCE3">
            <w:pPr>
              <w:adjustRightInd w:val="0"/>
              <w:snapToGrid w:val="0"/>
              <w:jc w:val="center"/>
              <w:rPr>
                <w:b/>
                <w:bCs/>
              </w:rPr>
            </w:pPr>
            <w:r>
              <w:rPr>
                <w:b/>
                <w:bCs/>
              </w:rPr>
              <w:t>不良环境影响的对策和措施</w:t>
            </w:r>
          </w:p>
        </w:tc>
      </w:tr>
      <w:tr w14:paraId="6CAA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dxa"/>
            <w:tcBorders>
              <w:top w:val="single" w:color="auto" w:sz="4" w:space="0"/>
              <w:left w:val="single" w:color="auto" w:sz="4" w:space="0"/>
              <w:bottom w:val="single" w:color="auto" w:sz="4" w:space="0"/>
              <w:right w:val="single" w:color="auto" w:sz="4" w:space="0"/>
            </w:tcBorders>
            <w:noWrap/>
            <w:vAlign w:val="center"/>
          </w:tcPr>
          <w:p w14:paraId="3A070FE0">
            <w:pPr>
              <w:jc w:val="center"/>
              <w:rPr>
                <w:b/>
                <w:bCs/>
              </w:rPr>
            </w:pPr>
            <w:r>
              <w:t>1</w:t>
            </w:r>
          </w:p>
        </w:tc>
        <w:tc>
          <w:tcPr>
            <w:tcW w:w="660" w:type="dxa"/>
            <w:tcBorders>
              <w:top w:val="single" w:color="auto" w:sz="4" w:space="0"/>
              <w:left w:val="single" w:color="auto" w:sz="4" w:space="0"/>
              <w:bottom w:val="single" w:color="auto" w:sz="4" w:space="0"/>
              <w:right w:val="single" w:color="auto" w:sz="4" w:space="0"/>
            </w:tcBorders>
            <w:noWrap/>
            <w:vAlign w:val="center"/>
          </w:tcPr>
          <w:p w14:paraId="3410E614">
            <w:pPr>
              <w:jc w:val="center"/>
              <w:rPr>
                <w:b/>
                <w:bCs/>
              </w:rPr>
            </w:pPr>
            <w:r>
              <w:rPr>
                <w:rFonts w:hint="eastAsia"/>
                <w:color w:val="000000"/>
                <w:szCs w:val="21"/>
                <w:shd w:val="clear" w:color="auto" w:fill="FFFFFF"/>
              </w:rPr>
              <w:t>S405渠县牌坊至铜鼓段改建工程</w:t>
            </w:r>
          </w:p>
        </w:tc>
        <w:tc>
          <w:tcPr>
            <w:tcW w:w="690" w:type="dxa"/>
            <w:tcBorders>
              <w:top w:val="single" w:color="auto" w:sz="4" w:space="0"/>
              <w:left w:val="single" w:color="auto" w:sz="4" w:space="0"/>
              <w:bottom w:val="single" w:color="auto" w:sz="4" w:space="0"/>
              <w:right w:val="single" w:color="auto" w:sz="4" w:space="0"/>
            </w:tcBorders>
            <w:noWrap/>
            <w:vAlign w:val="center"/>
          </w:tcPr>
          <w:p w14:paraId="6A62B863">
            <w:pPr>
              <w:jc w:val="center"/>
              <w:rPr>
                <w:b/>
                <w:bCs/>
              </w:rPr>
            </w:pPr>
            <w:r>
              <w:rPr>
                <w:rFonts w:hint="eastAsia"/>
                <w:color w:val="000000"/>
                <w:szCs w:val="21"/>
                <w:shd w:val="clear" w:color="auto" w:fill="FFFFFF"/>
              </w:rPr>
              <w:t>四川省达州市渠县</w:t>
            </w:r>
          </w:p>
        </w:tc>
        <w:tc>
          <w:tcPr>
            <w:tcW w:w="750" w:type="dxa"/>
            <w:tcBorders>
              <w:top w:val="single" w:color="auto" w:sz="4" w:space="0"/>
              <w:left w:val="single" w:color="auto" w:sz="4" w:space="0"/>
              <w:bottom w:val="single" w:color="auto" w:sz="4" w:space="0"/>
              <w:right w:val="single" w:color="auto" w:sz="4" w:space="0"/>
            </w:tcBorders>
            <w:noWrap/>
            <w:vAlign w:val="center"/>
          </w:tcPr>
          <w:p w14:paraId="783F887E">
            <w:pPr>
              <w:jc w:val="center"/>
              <w:rPr>
                <w:b/>
                <w:bCs/>
              </w:rPr>
            </w:pPr>
            <w:r>
              <w:rPr>
                <w:rFonts w:hint="eastAsia"/>
                <w:kern w:val="0"/>
                <w:szCs w:val="21"/>
              </w:rPr>
              <w:t>渠县交投建设有限责任公司</w:t>
            </w:r>
          </w:p>
        </w:tc>
        <w:tc>
          <w:tcPr>
            <w:tcW w:w="705" w:type="dxa"/>
            <w:tcBorders>
              <w:top w:val="single" w:color="auto" w:sz="4" w:space="0"/>
              <w:left w:val="single" w:color="auto" w:sz="4" w:space="0"/>
              <w:bottom w:val="single" w:color="auto" w:sz="4" w:space="0"/>
              <w:right w:val="single" w:color="auto" w:sz="4" w:space="0"/>
            </w:tcBorders>
            <w:noWrap/>
            <w:vAlign w:val="center"/>
          </w:tcPr>
          <w:p w14:paraId="73EC57CB">
            <w:pPr>
              <w:jc w:val="center"/>
              <w:rPr>
                <w:b/>
                <w:bCs/>
              </w:rPr>
            </w:pPr>
            <w:r>
              <w:rPr>
                <w:rFonts w:hint="eastAsia"/>
              </w:rPr>
              <w:t>四川恒瑞盛锦环保科技有限公司</w:t>
            </w:r>
          </w:p>
        </w:tc>
        <w:tc>
          <w:tcPr>
            <w:tcW w:w="2678" w:type="dxa"/>
            <w:tcBorders>
              <w:top w:val="single" w:color="auto" w:sz="4" w:space="0"/>
              <w:left w:val="single" w:color="auto" w:sz="4" w:space="0"/>
              <w:bottom w:val="single" w:color="auto" w:sz="4" w:space="0"/>
              <w:right w:val="single" w:color="auto" w:sz="4" w:space="0"/>
            </w:tcBorders>
            <w:noWrap/>
            <w:vAlign w:val="center"/>
          </w:tcPr>
          <w:p w14:paraId="2FD9B374">
            <w:pPr>
              <w:pStyle w:val="19"/>
              <w:spacing w:line="300" w:lineRule="atLeast"/>
              <w:ind w:firstLine="420"/>
              <w:rPr>
                <w:rFonts w:ascii="Times New Roman"/>
                <w:color w:val="000000"/>
                <w:kern w:val="0"/>
                <w:sz w:val="21"/>
                <w:szCs w:val="21"/>
              </w:rPr>
            </w:pPr>
            <w:r>
              <w:rPr>
                <w:rFonts w:hint="eastAsia" w:ascii="Times New Roman"/>
                <w:color w:val="000000"/>
                <w:kern w:val="0"/>
                <w:sz w:val="21"/>
                <w:szCs w:val="21"/>
                <w:lang w:eastAsia="zh-CN"/>
              </w:rPr>
              <w:t>工程</w:t>
            </w:r>
            <w:r>
              <w:rPr>
                <w:rFonts w:hint="eastAsia" w:ascii="Times New Roman"/>
                <w:color w:val="000000"/>
                <w:kern w:val="0"/>
                <w:sz w:val="21"/>
                <w:szCs w:val="21"/>
              </w:rPr>
              <w:t>起于渠县渠北镇西侧牌坊村，顺接既有S405与S204共线段，经洞子沟、黄家湾，</w:t>
            </w:r>
            <w:r>
              <w:rPr>
                <w:rFonts w:hint="eastAsia" w:ascii="Times New Roman"/>
                <w:color w:val="000000"/>
                <w:kern w:val="0"/>
                <w:sz w:val="21"/>
                <w:szCs w:val="21"/>
                <w:lang w:eastAsia="zh-CN"/>
              </w:rPr>
              <w:t>至</w:t>
            </w:r>
            <w:r>
              <w:rPr>
                <w:rFonts w:hint="eastAsia" w:ascii="Times New Roman"/>
                <w:color w:val="000000"/>
                <w:kern w:val="0"/>
                <w:sz w:val="21"/>
                <w:szCs w:val="21"/>
              </w:rPr>
              <w:t>叶家院子北侧（流江河东岸）设桥跨过流江河，止于青龙镇铜鼓村东侧，顺接S405铜鼓至望江段。</w:t>
            </w:r>
          </w:p>
          <w:p w14:paraId="003E4C5B">
            <w:pPr>
              <w:pStyle w:val="19"/>
              <w:spacing w:line="300" w:lineRule="atLeast"/>
              <w:ind w:firstLine="420"/>
              <w:rPr>
                <w:rFonts w:hint="default" w:ascii="Times New Roman" w:eastAsia="宋体"/>
                <w:color w:val="000000"/>
                <w:kern w:val="0"/>
                <w:sz w:val="21"/>
                <w:szCs w:val="21"/>
                <w:lang w:val="en-US" w:eastAsia="zh-CN"/>
              </w:rPr>
            </w:pPr>
            <w:r>
              <w:rPr>
                <w:rFonts w:hint="eastAsia" w:ascii="Times New Roman"/>
                <w:color w:val="000000"/>
                <w:kern w:val="0"/>
                <w:sz w:val="21"/>
                <w:szCs w:val="21"/>
                <w:lang w:eastAsia="zh-CN"/>
              </w:rPr>
              <w:t>工程路线全长</w:t>
            </w:r>
            <w:r>
              <w:rPr>
                <w:rFonts w:hint="eastAsia" w:ascii="Times New Roman"/>
                <w:color w:val="000000"/>
                <w:kern w:val="0"/>
                <w:sz w:val="21"/>
                <w:szCs w:val="21"/>
                <w:lang w:val="en-US" w:eastAsia="zh-CN"/>
              </w:rPr>
              <w:t>3.176公里，均为新建。采用二级公路技术标准建设，设计速度60公里/小时，路基宽度12米，桥梁与路基同宽，全线采用沥青混凝土路面。全线新建桥梁249m/1座，设涵洞10道，改移道路460m/13处，改沟481m/4处。</w:t>
            </w:r>
          </w:p>
          <w:p w14:paraId="2501A738">
            <w:pPr>
              <w:pStyle w:val="19"/>
              <w:spacing w:line="300" w:lineRule="atLeast"/>
              <w:ind w:firstLine="420"/>
              <w:rPr>
                <w:rFonts w:hint="eastAsia" w:ascii="Times New Roman" w:eastAsia="宋体"/>
                <w:color w:val="000000"/>
                <w:kern w:val="0"/>
                <w:sz w:val="21"/>
                <w:szCs w:val="21"/>
                <w:lang w:eastAsia="zh-CN"/>
              </w:rPr>
            </w:pPr>
            <w:r>
              <w:rPr>
                <w:rFonts w:hint="eastAsia" w:ascii="Times New Roman"/>
                <w:color w:val="000000"/>
                <w:kern w:val="0"/>
                <w:sz w:val="21"/>
                <w:szCs w:val="21"/>
                <w:lang w:eastAsia="zh-CN"/>
              </w:rPr>
              <w:t>工程所用筑路材料（沥青混凝土、砂石、水泥、骨料、钢筋等）均外购成品。工程设置施工场地</w:t>
            </w:r>
            <w:r>
              <w:rPr>
                <w:rFonts w:hint="eastAsia" w:ascii="Times New Roman"/>
                <w:color w:val="000000"/>
                <w:kern w:val="0"/>
                <w:sz w:val="21"/>
                <w:szCs w:val="21"/>
                <w:lang w:val="en-US" w:eastAsia="zh-CN"/>
              </w:rPr>
              <w:t>1处，内含桥涵预制区、混拌站（仅服务于桥涵等预制件生产）、材料堆放区、表土堆放区、机械停放区、钢筋加工棚、仓库等。</w:t>
            </w:r>
            <w:r>
              <w:rPr>
                <w:rFonts w:hint="eastAsia" w:ascii="Times New Roman"/>
                <w:color w:val="000000"/>
                <w:kern w:val="0"/>
                <w:sz w:val="21"/>
                <w:szCs w:val="21"/>
                <w:lang w:eastAsia="zh-CN"/>
              </w:rPr>
              <w:t>工程不设置热拌合站、取土场、弃渣场、施工营地、施工便道。</w:t>
            </w:r>
          </w:p>
          <w:p w14:paraId="61D84A0B">
            <w:pPr>
              <w:pStyle w:val="19"/>
              <w:spacing w:line="300" w:lineRule="atLeast"/>
              <w:ind w:firstLine="420"/>
              <w:rPr>
                <w:color w:val="000000"/>
                <w:szCs w:val="21"/>
              </w:rPr>
            </w:pPr>
            <w:r>
              <w:rPr>
                <w:rFonts w:ascii="Times New Roman"/>
                <w:color w:val="000000"/>
                <w:kern w:val="0"/>
                <w:sz w:val="21"/>
                <w:szCs w:val="21"/>
              </w:rPr>
              <w:t>工程总投资</w:t>
            </w:r>
            <w:r>
              <w:rPr>
                <w:rFonts w:hint="eastAsia" w:ascii="Times New Roman"/>
                <w:color w:val="000000"/>
                <w:kern w:val="0"/>
                <w:sz w:val="21"/>
                <w:szCs w:val="21"/>
                <w:lang w:eastAsia="zh-CN"/>
              </w:rPr>
              <w:t>约</w:t>
            </w:r>
            <w:r>
              <w:rPr>
                <w:rFonts w:hint="eastAsia" w:ascii="Times New Roman"/>
                <w:color w:val="000000"/>
                <w:kern w:val="0"/>
                <w:sz w:val="21"/>
                <w:szCs w:val="21"/>
                <w:lang w:val="en-US" w:eastAsia="zh-CN"/>
              </w:rPr>
              <w:t>9201.52</w:t>
            </w:r>
            <w:r>
              <w:rPr>
                <w:rFonts w:hint="eastAsia" w:ascii="Times New Roman"/>
                <w:color w:val="000000"/>
                <w:kern w:val="0"/>
                <w:sz w:val="21"/>
                <w:szCs w:val="21"/>
                <w:lang w:eastAsia="zh-CN"/>
              </w:rPr>
              <w:t>万</w:t>
            </w:r>
            <w:r>
              <w:rPr>
                <w:rFonts w:ascii="Times New Roman"/>
                <w:color w:val="000000"/>
                <w:kern w:val="0"/>
                <w:sz w:val="21"/>
                <w:szCs w:val="21"/>
              </w:rPr>
              <w:t>元，其中环保投资</w:t>
            </w:r>
            <w:r>
              <w:rPr>
                <w:rFonts w:hint="eastAsia" w:ascii="Times New Roman"/>
                <w:color w:val="000000"/>
                <w:kern w:val="0"/>
                <w:sz w:val="21"/>
                <w:szCs w:val="21"/>
                <w:lang w:eastAsia="zh-CN"/>
              </w:rPr>
              <w:t>约</w:t>
            </w:r>
            <w:r>
              <w:rPr>
                <w:rFonts w:hint="eastAsia" w:ascii="Times New Roman"/>
                <w:color w:val="000000"/>
                <w:kern w:val="0"/>
                <w:sz w:val="21"/>
                <w:szCs w:val="21"/>
                <w:lang w:val="en-US" w:eastAsia="zh-CN"/>
              </w:rPr>
              <w:t>714</w:t>
            </w:r>
            <w:r>
              <w:rPr>
                <w:rFonts w:ascii="Times New Roman"/>
                <w:color w:val="000000"/>
                <w:kern w:val="0"/>
                <w:sz w:val="21"/>
                <w:szCs w:val="21"/>
              </w:rPr>
              <w:t>万元。</w:t>
            </w:r>
          </w:p>
        </w:tc>
        <w:tc>
          <w:tcPr>
            <w:tcW w:w="8800" w:type="dxa"/>
            <w:tcBorders>
              <w:top w:val="single" w:color="auto" w:sz="4" w:space="0"/>
              <w:left w:val="single" w:color="auto" w:sz="4" w:space="0"/>
              <w:bottom w:val="single" w:color="auto" w:sz="4" w:space="0"/>
              <w:right w:val="single" w:color="auto" w:sz="4" w:space="0"/>
            </w:tcBorders>
            <w:noWrap/>
            <w:vAlign w:val="center"/>
          </w:tcPr>
          <w:p w14:paraId="0E0C0958">
            <w:pPr>
              <w:pStyle w:val="11"/>
              <w:numPr>
                <w:ilvl w:val="0"/>
                <w:numId w:val="1"/>
              </w:numPr>
              <w:shd w:val="clear" w:color="auto" w:fill="FFFFFF"/>
              <w:spacing w:before="0" w:beforeAutospacing="0" w:after="0" w:afterAutospacing="0" w:line="300" w:lineRule="atLeast"/>
              <w:ind w:firstLine="405"/>
              <w:jc w:val="both"/>
              <w:rPr>
                <w:rFonts w:ascii="Times New Roman" w:cs="Times New Roman"/>
                <w:b/>
                <w:bCs/>
                <w:color w:val="000000"/>
                <w:sz w:val="21"/>
                <w:szCs w:val="21"/>
              </w:rPr>
            </w:pPr>
            <w:r>
              <w:rPr>
                <w:rFonts w:hint="eastAsia" w:ascii="Times New Roman" w:cs="Times New Roman"/>
                <w:b/>
                <w:bCs/>
                <w:color w:val="000000"/>
                <w:sz w:val="21"/>
                <w:szCs w:val="21"/>
              </w:rPr>
              <w:t>施工期主要环境保护措施</w:t>
            </w:r>
          </w:p>
          <w:p w14:paraId="603B5AC0">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ascii="Times New Roman" w:cs="Times New Roman"/>
                <w:color w:val="auto"/>
                <w:sz w:val="21"/>
                <w:szCs w:val="21"/>
              </w:rPr>
              <w:t>（</w:t>
            </w:r>
            <w:r>
              <w:rPr>
                <w:rFonts w:hint="eastAsia" w:ascii="Times New Roman" w:cs="Times New Roman"/>
                <w:color w:val="auto"/>
                <w:sz w:val="21"/>
                <w:szCs w:val="21"/>
              </w:rPr>
              <w:t>1</w:t>
            </w:r>
            <w:r>
              <w:rPr>
                <w:rFonts w:ascii="Times New Roman" w:cs="Times New Roman"/>
                <w:color w:val="auto"/>
                <w:sz w:val="21"/>
                <w:szCs w:val="21"/>
              </w:rPr>
              <w:t>）</w:t>
            </w:r>
            <w:r>
              <w:rPr>
                <w:rFonts w:hint="eastAsia" w:ascii="Times New Roman" w:cs="Times New Roman"/>
                <w:color w:val="auto"/>
                <w:sz w:val="21"/>
                <w:szCs w:val="21"/>
              </w:rPr>
              <w:t>生态环境保护措施</w:t>
            </w:r>
          </w:p>
          <w:p w14:paraId="41EE9319">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rPr>
              <w:t>严格控制施工范围，优化施工临时工程设置；施工前路基开挖及临时占地的表土剥离保存，施工结束后开展生态修复或复耕等；强化施工环境管理，缩短施工时间，采取有效的</w:t>
            </w:r>
            <w:r>
              <w:rPr>
                <w:rFonts w:hint="eastAsia" w:ascii="Times New Roman" w:cs="Times New Roman"/>
                <w:color w:val="auto"/>
                <w:sz w:val="21"/>
                <w:szCs w:val="21"/>
                <w:lang w:eastAsia="zh-CN"/>
              </w:rPr>
              <w:t>动植物</w:t>
            </w:r>
            <w:r>
              <w:rPr>
                <w:rFonts w:hint="eastAsia" w:ascii="Times New Roman" w:cs="Times New Roman"/>
                <w:color w:val="auto"/>
                <w:sz w:val="21"/>
                <w:szCs w:val="21"/>
              </w:rPr>
              <w:t>生态环境保护措施</w:t>
            </w:r>
            <w:r>
              <w:rPr>
                <w:rFonts w:hint="eastAsia" w:ascii="Times New Roman" w:cs="Times New Roman"/>
                <w:color w:val="auto"/>
                <w:sz w:val="21"/>
                <w:szCs w:val="21"/>
                <w:lang w:eastAsia="zh-CN"/>
              </w:rPr>
              <w:t>，</w:t>
            </w:r>
            <w:r>
              <w:rPr>
                <w:rFonts w:hint="eastAsia" w:ascii="Times New Roman" w:cs="Times New Roman"/>
                <w:color w:val="000000"/>
                <w:sz w:val="21"/>
                <w:szCs w:val="21"/>
              </w:rPr>
              <w:t>控制和</w:t>
            </w:r>
            <w:r>
              <w:rPr>
                <w:rFonts w:hint="eastAsia" w:ascii="Times New Roman" w:cs="Times New Roman"/>
                <w:color w:val="auto"/>
                <w:sz w:val="21"/>
                <w:szCs w:val="21"/>
              </w:rPr>
              <w:t>减缓工程施工对生态环境的不利影响。</w:t>
            </w:r>
          </w:p>
          <w:p w14:paraId="0E6E7386">
            <w:pPr>
              <w:pStyle w:val="11"/>
              <w:shd w:val="clear" w:color="auto" w:fill="FFFFFF"/>
              <w:spacing w:before="0" w:beforeAutospacing="0" w:after="0" w:afterAutospacing="0" w:line="300" w:lineRule="atLeast"/>
              <w:ind w:firstLine="405"/>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2</w:t>
            </w:r>
            <w:r>
              <w:rPr>
                <w:rFonts w:ascii="Times New Roman" w:hAnsi="Times New Roman" w:eastAsia="宋体" w:cs="Times New Roman"/>
                <w:color w:val="auto"/>
                <w:sz w:val="21"/>
                <w:szCs w:val="21"/>
              </w:rPr>
              <w:t>）水污染防治措施</w:t>
            </w:r>
          </w:p>
          <w:p w14:paraId="2819D21F">
            <w:pPr>
              <w:pStyle w:val="11"/>
              <w:shd w:val="clear" w:color="auto" w:fill="FFFFFF"/>
              <w:spacing w:before="0" w:beforeAutospacing="0" w:after="0" w:afterAutospacing="0" w:line="300" w:lineRule="atLeast"/>
              <w:ind w:firstLine="405"/>
              <w:jc w:val="both"/>
              <w:rPr>
                <w:rFonts w:hint="eastAsia" w:ascii="Times New Roman" w:eastAsia="宋体" w:cs="Times New Roman"/>
                <w:color w:val="auto"/>
                <w:sz w:val="21"/>
                <w:szCs w:val="21"/>
                <w:lang w:eastAsia="zh-CN"/>
              </w:rPr>
            </w:pPr>
            <w:r>
              <w:rPr>
                <w:rFonts w:hint="eastAsia" w:ascii="Times New Roman" w:cs="Times New Roman"/>
                <w:color w:val="auto"/>
                <w:sz w:val="21"/>
                <w:szCs w:val="21"/>
              </w:rPr>
              <w:t>涉水桥梁施工尽可能在枯水期进行，并采用钢围堰施工，采用循环钻孔灌注桩等施工方式</w:t>
            </w:r>
            <w:r>
              <w:rPr>
                <w:rFonts w:hint="eastAsia" w:ascii="Times New Roman" w:cs="Times New Roman"/>
                <w:color w:val="auto"/>
                <w:sz w:val="21"/>
                <w:szCs w:val="21"/>
                <w:lang w:eastAsia="zh-CN"/>
              </w:rPr>
              <w:t>，泥浆沉淀处理后循环使用，泥浆废水沉淀处理后用于洒水抑尘。</w:t>
            </w:r>
            <w:r>
              <w:rPr>
                <w:rFonts w:hint="eastAsia" w:ascii="Times New Roman" w:cs="Times New Roman"/>
                <w:color w:val="auto"/>
                <w:sz w:val="21"/>
                <w:szCs w:val="21"/>
              </w:rPr>
              <w:t>生活污水依托</w:t>
            </w:r>
            <w:r>
              <w:rPr>
                <w:rFonts w:hint="eastAsia" w:ascii="Times New Roman" w:cs="Times New Roman"/>
                <w:color w:val="auto"/>
                <w:sz w:val="21"/>
                <w:szCs w:val="21"/>
                <w:lang w:eastAsia="zh-CN"/>
              </w:rPr>
              <w:t>周边</w:t>
            </w:r>
            <w:r>
              <w:rPr>
                <w:rFonts w:hint="eastAsia" w:ascii="Times New Roman" w:cs="Times New Roman"/>
                <w:color w:val="auto"/>
                <w:sz w:val="21"/>
                <w:szCs w:val="21"/>
              </w:rPr>
              <w:t>民房</w:t>
            </w:r>
            <w:r>
              <w:rPr>
                <w:rFonts w:hint="eastAsia" w:ascii="Times New Roman" w:cs="Times New Roman"/>
                <w:color w:val="auto"/>
                <w:sz w:val="21"/>
                <w:szCs w:val="21"/>
                <w:lang w:eastAsia="zh-CN"/>
              </w:rPr>
              <w:t>现有设施</w:t>
            </w:r>
            <w:r>
              <w:rPr>
                <w:rFonts w:hint="eastAsia" w:ascii="Times New Roman" w:cs="Times New Roman"/>
                <w:color w:val="auto"/>
                <w:sz w:val="21"/>
                <w:szCs w:val="21"/>
              </w:rPr>
              <w:t>处理后用作农肥</w:t>
            </w:r>
            <w:r>
              <w:rPr>
                <w:rFonts w:hint="eastAsia" w:ascii="Times New Roman" w:cs="Times New Roman"/>
                <w:color w:val="auto"/>
                <w:sz w:val="21"/>
                <w:szCs w:val="21"/>
                <w:lang w:eastAsia="zh-CN"/>
              </w:rPr>
              <w:t>，不外排</w:t>
            </w:r>
            <w:r>
              <w:rPr>
                <w:rFonts w:hint="eastAsia" w:ascii="Times New Roman" w:cs="Times New Roman"/>
                <w:color w:val="auto"/>
                <w:sz w:val="21"/>
                <w:szCs w:val="21"/>
              </w:rPr>
              <w:t>。</w:t>
            </w:r>
            <w:r>
              <w:rPr>
                <w:rFonts w:hint="eastAsia" w:ascii="Times New Roman" w:cs="Times New Roman"/>
                <w:color w:val="auto"/>
                <w:sz w:val="21"/>
                <w:szCs w:val="21"/>
                <w:lang w:eastAsia="zh-CN"/>
              </w:rPr>
              <w:t>施工场地生产废水、桥下作业区地表径流及初期雨水收集沉淀处理后循环使用或洒水抑尘，不外排。</w:t>
            </w:r>
          </w:p>
          <w:p w14:paraId="5A152F6F">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ascii="Times New Roman" w:cs="Times New Roman"/>
                <w:color w:val="auto"/>
                <w:sz w:val="21"/>
                <w:szCs w:val="21"/>
              </w:rPr>
              <w:t>（</w:t>
            </w:r>
            <w:r>
              <w:rPr>
                <w:rFonts w:hint="eastAsia" w:ascii="Times New Roman" w:cs="Times New Roman"/>
                <w:color w:val="auto"/>
                <w:sz w:val="21"/>
                <w:szCs w:val="21"/>
                <w:lang w:val="en-US" w:eastAsia="zh-CN"/>
              </w:rPr>
              <w:t>3</w:t>
            </w:r>
            <w:r>
              <w:rPr>
                <w:rFonts w:ascii="Times New Roman" w:cs="Times New Roman"/>
                <w:color w:val="auto"/>
                <w:sz w:val="21"/>
                <w:szCs w:val="21"/>
              </w:rPr>
              <w:t>）</w:t>
            </w:r>
            <w:r>
              <w:rPr>
                <w:rFonts w:hint="eastAsia" w:ascii="Times New Roman" w:cs="Times New Roman"/>
                <w:color w:val="auto"/>
                <w:sz w:val="21"/>
                <w:szCs w:val="21"/>
              </w:rPr>
              <w:t>噪声污染防治措施</w:t>
            </w:r>
          </w:p>
          <w:p w14:paraId="5AC430A2">
            <w:pPr>
              <w:pStyle w:val="11"/>
              <w:shd w:val="clear" w:color="auto" w:fill="FFFFFF"/>
              <w:spacing w:before="0" w:beforeAutospacing="0" w:after="0" w:afterAutospacing="0" w:line="300" w:lineRule="atLeast"/>
              <w:ind w:firstLine="405"/>
              <w:jc w:val="both"/>
              <w:rPr>
                <w:rFonts w:ascii="Times New Roman" w:cs="Times New Roman"/>
                <w:color w:val="0000FF"/>
                <w:sz w:val="21"/>
                <w:szCs w:val="21"/>
              </w:rPr>
            </w:pPr>
            <w:r>
              <w:rPr>
                <w:rFonts w:ascii="Times New Roman" w:cs="Times New Roman"/>
                <w:color w:val="auto"/>
                <w:sz w:val="21"/>
                <w:szCs w:val="21"/>
              </w:rPr>
              <w:t>合理布设施工</w:t>
            </w:r>
            <w:r>
              <w:rPr>
                <w:rFonts w:hint="eastAsia" w:ascii="Times New Roman" w:cs="Times New Roman"/>
                <w:color w:val="auto"/>
                <w:sz w:val="21"/>
                <w:szCs w:val="21"/>
              </w:rPr>
              <w:t>现场</w:t>
            </w:r>
            <w:r>
              <w:rPr>
                <w:rFonts w:ascii="Times New Roman" w:cs="Times New Roman"/>
                <w:color w:val="auto"/>
                <w:sz w:val="21"/>
                <w:szCs w:val="21"/>
              </w:rPr>
              <w:t>，尽量选用低噪声</w:t>
            </w:r>
            <w:r>
              <w:rPr>
                <w:rFonts w:hint="eastAsia" w:ascii="Times New Roman" w:cs="Times New Roman"/>
                <w:color w:val="auto"/>
                <w:sz w:val="21"/>
                <w:szCs w:val="21"/>
              </w:rPr>
              <w:t>低振动</w:t>
            </w:r>
            <w:r>
              <w:rPr>
                <w:rFonts w:ascii="Times New Roman" w:cs="Times New Roman"/>
                <w:color w:val="auto"/>
                <w:sz w:val="21"/>
                <w:szCs w:val="21"/>
              </w:rPr>
              <w:t>施工机械设备</w:t>
            </w:r>
            <w:r>
              <w:rPr>
                <w:rFonts w:hint="eastAsia" w:ascii="Times New Roman" w:cs="Times New Roman"/>
                <w:color w:val="auto"/>
                <w:sz w:val="21"/>
                <w:szCs w:val="21"/>
              </w:rPr>
              <w:t>，</w:t>
            </w:r>
            <w:r>
              <w:rPr>
                <w:rFonts w:ascii="Times New Roman" w:cs="Times New Roman"/>
                <w:color w:val="auto"/>
                <w:sz w:val="21"/>
                <w:szCs w:val="21"/>
              </w:rPr>
              <w:t>施工过程设置围挡</w:t>
            </w:r>
            <w:r>
              <w:rPr>
                <w:rFonts w:hint="eastAsia" w:ascii="Times New Roman" w:cs="Times New Roman"/>
                <w:color w:val="auto"/>
                <w:sz w:val="21"/>
                <w:szCs w:val="21"/>
              </w:rPr>
              <w:t>与</w:t>
            </w:r>
            <w:r>
              <w:rPr>
                <w:rFonts w:ascii="Times New Roman" w:cs="Times New Roman"/>
                <w:color w:val="auto"/>
                <w:sz w:val="21"/>
                <w:szCs w:val="21"/>
              </w:rPr>
              <w:t>必要减震防噪措施</w:t>
            </w:r>
            <w:r>
              <w:rPr>
                <w:rFonts w:hint="eastAsia" w:ascii="Times New Roman" w:cs="Times New Roman"/>
                <w:color w:val="auto"/>
                <w:sz w:val="21"/>
                <w:szCs w:val="21"/>
              </w:rPr>
              <w:t>，</w:t>
            </w:r>
            <w:r>
              <w:rPr>
                <w:rFonts w:ascii="Times New Roman" w:cs="Times New Roman"/>
                <w:color w:val="auto"/>
                <w:sz w:val="21"/>
                <w:szCs w:val="21"/>
              </w:rPr>
              <w:t>合理安排施工时序，</w:t>
            </w:r>
            <w:r>
              <w:rPr>
                <w:rFonts w:hint="eastAsia" w:ascii="Times New Roman" w:cs="Times New Roman"/>
                <w:color w:val="auto"/>
                <w:sz w:val="21"/>
                <w:szCs w:val="21"/>
              </w:rPr>
              <w:t>合理安排施工车辆运输路线与时间</w:t>
            </w:r>
            <w:r>
              <w:rPr>
                <w:rFonts w:ascii="Times New Roman" w:cs="Times New Roman"/>
                <w:color w:val="auto"/>
                <w:sz w:val="21"/>
                <w:szCs w:val="21"/>
              </w:rPr>
              <w:t>。</w:t>
            </w:r>
          </w:p>
          <w:p w14:paraId="32A1564B">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rPr>
              <w:t>（4）</w:t>
            </w:r>
            <w:r>
              <w:rPr>
                <w:rFonts w:hint="eastAsia" w:ascii="Times New Roman"/>
                <w:color w:val="auto"/>
                <w:sz w:val="21"/>
                <w:szCs w:val="21"/>
                <w:lang w:eastAsia="zh-CN"/>
              </w:rPr>
              <w:t>大气污染防治措施</w:t>
            </w:r>
          </w:p>
          <w:p w14:paraId="0E84F953">
            <w:pPr>
              <w:pStyle w:val="11"/>
              <w:shd w:val="clear" w:color="auto" w:fill="FFFFFF"/>
              <w:spacing w:before="0" w:beforeAutospacing="0" w:after="0" w:afterAutospacing="0" w:line="300" w:lineRule="atLeast"/>
              <w:ind w:firstLine="405"/>
              <w:jc w:val="both"/>
              <w:rPr>
                <w:rFonts w:hint="eastAsia" w:ascii="Times New Roman"/>
                <w:color w:val="auto"/>
                <w:sz w:val="21"/>
                <w:szCs w:val="21"/>
                <w:highlight w:val="none"/>
              </w:rPr>
            </w:pPr>
            <w:r>
              <w:rPr>
                <w:rFonts w:hint="eastAsia" w:ascii="Times New Roman" w:cs="Times New Roman"/>
                <w:color w:val="auto"/>
                <w:sz w:val="21"/>
                <w:szCs w:val="21"/>
              </w:rPr>
              <w:t>强化施工期扬尘污染防治，</w:t>
            </w:r>
            <w:r>
              <w:rPr>
                <w:rFonts w:ascii="Times New Roman"/>
                <w:color w:val="auto"/>
                <w:sz w:val="21"/>
                <w:szCs w:val="21"/>
              </w:rPr>
              <w:t>采取</w:t>
            </w:r>
            <w:r>
              <w:rPr>
                <w:rFonts w:hint="eastAsia" w:ascii="Times New Roman"/>
                <w:color w:val="auto"/>
                <w:sz w:val="21"/>
                <w:szCs w:val="21"/>
                <w:lang w:eastAsia="zh-CN"/>
              </w:rPr>
              <w:t>设置围挡</w:t>
            </w:r>
            <w:r>
              <w:rPr>
                <w:rFonts w:hint="eastAsia" w:ascii="Times New Roman"/>
                <w:color w:val="auto"/>
                <w:sz w:val="21"/>
                <w:szCs w:val="21"/>
              </w:rPr>
              <w:t>、</w:t>
            </w:r>
            <w:r>
              <w:rPr>
                <w:rFonts w:ascii="Times New Roman"/>
                <w:color w:val="auto"/>
                <w:sz w:val="21"/>
                <w:szCs w:val="21"/>
              </w:rPr>
              <w:t>洒水降尘</w:t>
            </w:r>
            <w:r>
              <w:rPr>
                <w:rFonts w:hint="eastAsia" w:ascii="Times New Roman"/>
                <w:color w:val="auto"/>
                <w:sz w:val="21"/>
                <w:szCs w:val="21"/>
                <w:lang w:eastAsia="zh-CN"/>
              </w:rPr>
              <w:t>、</w:t>
            </w:r>
            <w:r>
              <w:rPr>
                <w:rFonts w:ascii="Times New Roman"/>
                <w:color w:val="auto"/>
                <w:sz w:val="21"/>
                <w:szCs w:val="21"/>
              </w:rPr>
              <w:t>场地硬化</w:t>
            </w:r>
            <w:r>
              <w:rPr>
                <w:rFonts w:hint="eastAsia" w:ascii="Times New Roman"/>
                <w:color w:val="auto"/>
                <w:sz w:val="21"/>
                <w:szCs w:val="21"/>
                <w:lang w:eastAsia="zh-CN"/>
              </w:rPr>
              <w:t>、</w:t>
            </w:r>
            <w:r>
              <w:rPr>
                <w:rFonts w:hint="eastAsia" w:ascii="Times New Roman"/>
                <w:color w:val="auto"/>
                <w:sz w:val="21"/>
                <w:szCs w:val="21"/>
              </w:rPr>
              <w:t>密闭运输、</w:t>
            </w:r>
            <w:r>
              <w:rPr>
                <w:rFonts w:hint="eastAsia" w:ascii="Times New Roman"/>
                <w:color w:val="auto"/>
                <w:sz w:val="21"/>
                <w:szCs w:val="21"/>
                <w:lang w:eastAsia="zh-CN"/>
              </w:rPr>
              <w:t>进出口设置冲洗平台</w:t>
            </w:r>
            <w:r>
              <w:rPr>
                <w:rFonts w:ascii="Times New Roman"/>
                <w:color w:val="auto"/>
                <w:sz w:val="21"/>
                <w:szCs w:val="21"/>
              </w:rPr>
              <w:t>等措施；</w:t>
            </w:r>
            <w:r>
              <w:rPr>
                <w:rFonts w:hint="eastAsia" w:ascii="Times New Roman"/>
                <w:color w:val="auto"/>
                <w:sz w:val="21"/>
                <w:szCs w:val="21"/>
              </w:rPr>
              <w:t>钢筋加工棚焊接废气</w:t>
            </w:r>
            <w:r>
              <w:rPr>
                <w:rFonts w:hint="eastAsia" w:ascii="Times New Roman"/>
                <w:color w:val="auto"/>
                <w:sz w:val="21"/>
                <w:szCs w:val="21"/>
                <w:lang w:eastAsia="zh-CN"/>
              </w:rPr>
              <w:t>设置</w:t>
            </w:r>
            <w:r>
              <w:rPr>
                <w:rFonts w:hint="eastAsia" w:ascii="Times New Roman"/>
                <w:color w:val="auto"/>
                <w:sz w:val="21"/>
                <w:szCs w:val="21"/>
              </w:rPr>
              <w:t>移动净化设施</w:t>
            </w:r>
            <w:r>
              <w:rPr>
                <w:rFonts w:hint="eastAsia" w:ascii="Times New Roman"/>
                <w:color w:val="auto"/>
                <w:sz w:val="21"/>
                <w:szCs w:val="21"/>
                <w:lang w:eastAsia="zh-CN"/>
              </w:rPr>
              <w:t>；</w:t>
            </w:r>
            <w:r>
              <w:rPr>
                <w:rFonts w:hint="eastAsia" w:ascii="Times New Roman" w:hAnsi="Times New Roman" w:cs="Times New Roman"/>
                <w:color w:val="auto"/>
                <w:sz w:val="21"/>
                <w:szCs w:val="21"/>
                <w:lang w:eastAsia="zh-CN"/>
              </w:rPr>
              <w:t>搅拌机</w:t>
            </w:r>
            <w:r>
              <w:rPr>
                <w:rFonts w:hint="eastAsia" w:ascii="Times New Roman" w:cs="Times New Roman"/>
                <w:color w:val="auto"/>
                <w:sz w:val="21"/>
                <w:szCs w:val="21"/>
                <w:lang w:eastAsia="zh-CN"/>
              </w:rPr>
              <w:t>设置在可封闭彩钢棚内并</w:t>
            </w:r>
            <w:r>
              <w:rPr>
                <w:rFonts w:hint="eastAsia" w:ascii="Times New Roman" w:hAnsi="Times New Roman" w:cs="Times New Roman"/>
                <w:color w:val="auto"/>
                <w:sz w:val="21"/>
                <w:szCs w:val="21"/>
                <w:lang w:eastAsia="zh-CN"/>
              </w:rPr>
              <w:t>封闭进出料口，</w:t>
            </w:r>
            <w:r>
              <w:rPr>
                <w:rFonts w:hint="eastAsia" w:ascii="Times New Roman" w:cs="Times New Roman"/>
                <w:color w:val="auto"/>
                <w:sz w:val="21"/>
                <w:szCs w:val="21"/>
                <w:lang w:eastAsia="zh-CN"/>
              </w:rPr>
              <w:t>棚内洒水降尘</w:t>
            </w:r>
            <w:r>
              <w:rPr>
                <w:rFonts w:hint="eastAsia" w:ascii="Times New Roman"/>
                <w:color w:val="0000FF"/>
                <w:sz w:val="21"/>
                <w:szCs w:val="21"/>
              </w:rPr>
              <w:t>。</w:t>
            </w:r>
          </w:p>
          <w:p w14:paraId="6B5849A5">
            <w:pPr>
              <w:pStyle w:val="11"/>
              <w:shd w:val="clear" w:color="auto" w:fill="FFFFFF"/>
              <w:spacing w:before="0" w:beforeAutospacing="0" w:after="0" w:afterAutospacing="0" w:line="300" w:lineRule="atLeast"/>
              <w:ind w:firstLine="405"/>
              <w:jc w:val="both"/>
              <w:rPr>
                <w:rFonts w:hint="eastAsia" w:ascii="Times New Roman" w:eastAsia="宋体"/>
                <w:color w:val="auto"/>
                <w:sz w:val="21"/>
                <w:szCs w:val="21"/>
                <w:highlight w:val="none"/>
                <w:lang w:eastAsia="zh-CN"/>
              </w:rPr>
            </w:pP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5</w:t>
            </w:r>
            <w:r>
              <w:rPr>
                <w:rFonts w:hint="eastAsia" w:ascii="Times New Roman"/>
                <w:color w:val="auto"/>
                <w:sz w:val="21"/>
                <w:szCs w:val="21"/>
                <w:highlight w:val="none"/>
                <w:lang w:eastAsia="zh-CN"/>
              </w:rPr>
              <w:t>）固体废物污染防治措施</w:t>
            </w:r>
          </w:p>
          <w:p w14:paraId="68958119">
            <w:pPr>
              <w:pStyle w:val="11"/>
              <w:shd w:val="clear" w:color="auto" w:fill="FFFFFF"/>
              <w:spacing w:before="0" w:beforeAutospacing="0" w:after="0" w:afterAutospacing="0" w:line="300" w:lineRule="atLeast"/>
              <w:ind w:firstLine="405"/>
              <w:jc w:val="both"/>
              <w:rPr>
                <w:rFonts w:hint="eastAsia" w:ascii="Times New Roman" w:cs="Times New Roman"/>
                <w:color w:val="auto"/>
                <w:sz w:val="21"/>
                <w:szCs w:val="21"/>
              </w:rPr>
            </w:pPr>
            <w:r>
              <w:rPr>
                <w:rFonts w:hint="eastAsia" w:ascii="Times New Roman" w:cs="Times New Roman"/>
                <w:color w:val="auto"/>
                <w:sz w:val="21"/>
                <w:szCs w:val="21"/>
                <w:lang w:eastAsia="zh-CN"/>
              </w:rPr>
              <w:t>加强施工期生活垃圾、弃方、建筑垃圾、钻渣、脱水后泥浆、沉淀池污泥、</w:t>
            </w:r>
            <w:r>
              <w:rPr>
                <w:rFonts w:hint="eastAsia" w:ascii="Times New Roman" w:cs="Times New Roman"/>
                <w:color w:val="auto"/>
                <w:sz w:val="21"/>
                <w:szCs w:val="21"/>
              </w:rPr>
              <w:t>废焊条、废焊渣、废机油</w:t>
            </w:r>
            <w:r>
              <w:rPr>
                <w:rFonts w:hint="eastAsia" w:ascii="Times New Roman" w:cs="Times New Roman"/>
                <w:color w:val="auto"/>
                <w:sz w:val="21"/>
                <w:szCs w:val="21"/>
                <w:lang w:eastAsia="zh-CN"/>
              </w:rPr>
              <w:t>等各类固体废物的</w:t>
            </w:r>
            <w:r>
              <w:rPr>
                <w:rFonts w:hint="eastAsia" w:ascii="Times New Roman" w:cs="Times New Roman"/>
                <w:color w:val="auto"/>
                <w:sz w:val="21"/>
                <w:szCs w:val="21"/>
              </w:rPr>
              <w:t>收集</w:t>
            </w:r>
            <w:r>
              <w:rPr>
                <w:rFonts w:hint="eastAsia" w:ascii="Times New Roman" w:cs="Times New Roman"/>
                <w:color w:val="auto"/>
                <w:sz w:val="21"/>
                <w:szCs w:val="21"/>
                <w:lang w:eastAsia="zh-CN"/>
              </w:rPr>
              <w:t>、暂存、转运及</w:t>
            </w:r>
            <w:r>
              <w:rPr>
                <w:rFonts w:hint="eastAsia" w:ascii="Times New Roman" w:cs="Times New Roman"/>
                <w:color w:val="auto"/>
                <w:sz w:val="21"/>
                <w:szCs w:val="21"/>
              </w:rPr>
              <w:t>处置</w:t>
            </w:r>
            <w:r>
              <w:rPr>
                <w:rFonts w:hint="eastAsia" w:ascii="Times New Roman" w:cs="Times New Roman"/>
                <w:color w:val="auto"/>
                <w:sz w:val="21"/>
                <w:szCs w:val="21"/>
                <w:lang w:eastAsia="zh-CN"/>
              </w:rPr>
              <w:t>过程中的环境管理，采取有效措施防止二次污染</w:t>
            </w:r>
            <w:r>
              <w:rPr>
                <w:rFonts w:hint="eastAsia" w:ascii="Times New Roman" w:cs="Times New Roman"/>
                <w:color w:val="auto"/>
                <w:sz w:val="21"/>
                <w:szCs w:val="21"/>
              </w:rPr>
              <w:t>。</w:t>
            </w:r>
          </w:p>
          <w:p w14:paraId="7FB16DD0">
            <w:pPr>
              <w:pStyle w:val="11"/>
              <w:numPr>
                <w:ilvl w:val="0"/>
                <w:numId w:val="1"/>
              </w:numPr>
              <w:shd w:val="clear" w:color="auto" w:fill="FFFFFF"/>
              <w:spacing w:before="0" w:beforeAutospacing="0" w:after="0" w:afterAutospacing="0" w:line="300" w:lineRule="atLeast"/>
              <w:ind w:firstLine="405"/>
              <w:jc w:val="both"/>
              <w:rPr>
                <w:rFonts w:ascii="Times New Roman" w:cs="Times New Roman"/>
                <w:b/>
                <w:bCs/>
                <w:color w:val="000000"/>
                <w:sz w:val="21"/>
                <w:szCs w:val="21"/>
              </w:rPr>
            </w:pPr>
            <w:r>
              <w:rPr>
                <w:rFonts w:hint="eastAsia" w:ascii="Times New Roman" w:cs="Times New Roman"/>
                <w:b/>
                <w:bCs/>
                <w:color w:val="000000"/>
                <w:sz w:val="21"/>
                <w:szCs w:val="21"/>
              </w:rPr>
              <w:t>营运期主要环境保护措施</w:t>
            </w:r>
          </w:p>
          <w:p w14:paraId="26DDB0D4">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rPr>
              <w:t>加强营运期生态环境保护组织管理，落实陆生动植物和水生生物保护措施</w:t>
            </w:r>
            <w:r>
              <w:rPr>
                <w:rFonts w:hint="eastAsia" w:ascii="Times New Roman" w:cs="Times New Roman"/>
                <w:color w:val="auto"/>
                <w:sz w:val="21"/>
                <w:szCs w:val="21"/>
                <w:lang w:eastAsia="zh-CN"/>
              </w:rPr>
              <w:t>，</w:t>
            </w:r>
            <w:r>
              <w:rPr>
                <w:rFonts w:hint="eastAsia" w:ascii="Times New Roman" w:cs="Times New Roman"/>
                <w:color w:val="auto"/>
                <w:sz w:val="21"/>
                <w:szCs w:val="21"/>
              </w:rPr>
              <w:t>加强</w:t>
            </w:r>
            <w:r>
              <w:rPr>
                <w:rFonts w:hint="eastAsia" w:ascii="Times New Roman" w:cs="Times New Roman"/>
                <w:color w:val="auto"/>
                <w:sz w:val="21"/>
                <w:szCs w:val="21"/>
                <w:lang w:eastAsia="zh-CN"/>
              </w:rPr>
              <w:t>公路</w:t>
            </w:r>
            <w:r>
              <w:rPr>
                <w:rFonts w:hint="eastAsia" w:ascii="Times New Roman" w:cs="Times New Roman"/>
                <w:color w:val="auto"/>
                <w:sz w:val="21"/>
                <w:szCs w:val="21"/>
              </w:rPr>
              <w:t>沿线区域临时占地恢复工程的保护。</w:t>
            </w:r>
          </w:p>
          <w:p w14:paraId="4D5DBAC4">
            <w:pPr>
              <w:pStyle w:val="11"/>
              <w:shd w:val="clear" w:color="auto" w:fill="FFFFFF"/>
              <w:spacing w:before="0" w:beforeAutospacing="0" w:after="0" w:afterAutospacing="0" w:line="300" w:lineRule="atLeast"/>
              <w:ind w:firstLine="405"/>
              <w:jc w:val="both"/>
              <w:rPr>
                <w:rFonts w:ascii="Times New Roman" w:cs="Times New Roman"/>
                <w:color w:val="0000FF"/>
                <w:sz w:val="21"/>
                <w:szCs w:val="21"/>
              </w:rPr>
            </w:pPr>
            <w:r>
              <w:rPr>
                <w:rFonts w:hint="eastAsia" w:ascii="Times New Roman" w:cs="Times New Roman"/>
                <w:color w:val="auto"/>
                <w:sz w:val="21"/>
                <w:szCs w:val="21"/>
              </w:rPr>
              <w:t>加强车辆管理</w:t>
            </w:r>
            <w:r>
              <w:rPr>
                <w:rFonts w:hint="eastAsia" w:ascii="Times New Roman" w:cs="Times New Roman"/>
                <w:color w:val="auto"/>
                <w:sz w:val="21"/>
                <w:szCs w:val="21"/>
                <w:lang w:eastAsia="zh-CN"/>
              </w:rPr>
              <w:t>、</w:t>
            </w:r>
            <w:r>
              <w:rPr>
                <w:rFonts w:hint="eastAsia" w:ascii="Times New Roman" w:cs="Times New Roman"/>
                <w:color w:val="auto"/>
                <w:sz w:val="21"/>
                <w:szCs w:val="21"/>
              </w:rPr>
              <w:t>公路两侧</w:t>
            </w:r>
            <w:r>
              <w:rPr>
                <w:rFonts w:hint="eastAsia" w:ascii="Times New Roman" w:cs="Times New Roman"/>
                <w:color w:val="auto"/>
                <w:sz w:val="21"/>
                <w:szCs w:val="21"/>
                <w:lang w:eastAsia="zh-CN"/>
              </w:rPr>
              <w:t>绿化</w:t>
            </w:r>
            <w:r>
              <w:rPr>
                <w:rFonts w:hint="eastAsia" w:ascii="Times New Roman" w:cs="Times New Roman"/>
                <w:color w:val="auto"/>
                <w:sz w:val="21"/>
                <w:szCs w:val="21"/>
              </w:rPr>
              <w:t>，</w:t>
            </w:r>
            <w:r>
              <w:rPr>
                <w:rFonts w:ascii="Times New Roman" w:cs="Times New Roman"/>
                <w:color w:val="auto"/>
                <w:sz w:val="21"/>
                <w:szCs w:val="21"/>
              </w:rPr>
              <w:t>定期维护保养路面。</w:t>
            </w:r>
            <w:r>
              <w:rPr>
                <w:rFonts w:hint="eastAsia" w:ascii="Times New Roman" w:cs="Times New Roman"/>
                <w:color w:val="auto"/>
                <w:sz w:val="21"/>
                <w:szCs w:val="21"/>
              </w:rPr>
              <w:t>针对声环境敏感点设置各类有效</w:t>
            </w:r>
            <w:r>
              <w:rPr>
                <w:rFonts w:hint="eastAsia" w:ascii="Times New Roman" w:cs="Times New Roman"/>
                <w:color w:val="auto"/>
                <w:sz w:val="21"/>
                <w:szCs w:val="21"/>
                <w:lang w:eastAsia="zh-CN"/>
              </w:rPr>
              <w:t>减噪措施</w:t>
            </w:r>
            <w:r>
              <w:rPr>
                <w:rFonts w:hint="eastAsia" w:ascii="Times New Roman" w:cs="Times New Roman"/>
                <w:color w:val="auto"/>
                <w:sz w:val="21"/>
                <w:szCs w:val="21"/>
              </w:rPr>
              <w:t>，预留噪声监测、治理费用和声屏障实施条件,加强跟踪监测，根据监测结果进一步完善必要的防治措施。</w:t>
            </w:r>
          </w:p>
          <w:p w14:paraId="143B9CD6">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rPr>
              <w:t>公路沿线设置加盖垃圾池，依法分类处置固体废物。</w:t>
            </w:r>
            <w:r>
              <w:rPr>
                <w:rFonts w:hint="eastAsia" w:ascii="Times New Roman" w:cs="Times New Roman"/>
                <w:color w:val="auto"/>
                <w:sz w:val="21"/>
                <w:szCs w:val="21"/>
                <w:lang w:eastAsia="zh-CN"/>
              </w:rPr>
              <w:t>加强排水系统等</w:t>
            </w:r>
            <w:r>
              <w:rPr>
                <w:rFonts w:hint="eastAsia" w:ascii="Times New Roman" w:cs="Times New Roman"/>
                <w:color w:val="auto"/>
                <w:sz w:val="21"/>
                <w:szCs w:val="21"/>
              </w:rPr>
              <w:t>水环境保护措施</w:t>
            </w:r>
            <w:r>
              <w:rPr>
                <w:rFonts w:hint="eastAsia" w:ascii="Times New Roman" w:cs="Times New Roman"/>
                <w:color w:val="auto"/>
                <w:sz w:val="21"/>
                <w:szCs w:val="21"/>
                <w:lang w:eastAsia="zh-CN"/>
              </w:rPr>
              <w:t>管理</w:t>
            </w:r>
            <w:r>
              <w:rPr>
                <w:rFonts w:hint="eastAsia" w:ascii="Times New Roman" w:cs="Times New Roman"/>
                <w:color w:val="auto"/>
                <w:sz w:val="21"/>
                <w:szCs w:val="21"/>
              </w:rPr>
              <w:t>，</w:t>
            </w:r>
            <w:r>
              <w:rPr>
                <w:rFonts w:hint="eastAsia" w:ascii="Times New Roman" w:cs="Times New Roman"/>
                <w:color w:val="auto"/>
                <w:sz w:val="21"/>
                <w:szCs w:val="21"/>
                <w:lang w:eastAsia="zh-CN"/>
              </w:rPr>
              <w:t>桥梁路段</w:t>
            </w:r>
            <w:r>
              <w:rPr>
                <w:rFonts w:hint="eastAsia" w:ascii="Times New Roman" w:cs="Times New Roman"/>
                <w:color w:val="auto"/>
                <w:sz w:val="21"/>
                <w:szCs w:val="21"/>
              </w:rPr>
              <w:t>加强管理。</w:t>
            </w:r>
          </w:p>
          <w:p w14:paraId="0980856E">
            <w:pPr>
              <w:pStyle w:val="11"/>
              <w:numPr>
                <w:ilvl w:val="0"/>
                <w:numId w:val="1"/>
              </w:numPr>
              <w:shd w:val="clear" w:color="auto" w:fill="FFFFFF"/>
              <w:spacing w:before="0" w:beforeAutospacing="0" w:after="0" w:afterAutospacing="0" w:line="300" w:lineRule="atLeast"/>
              <w:ind w:firstLine="405"/>
              <w:jc w:val="both"/>
              <w:rPr>
                <w:rFonts w:ascii="Times New Roman" w:cs="Times New Roman"/>
                <w:b/>
                <w:bCs/>
                <w:color w:val="000000"/>
                <w:sz w:val="21"/>
                <w:szCs w:val="21"/>
              </w:rPr>
            </w:pPr>
            <w:r>
              <w:rPr>
                <w:rFonts w:hint="eastAsia" w:ascii="Times New Roman" w:cs="Times New Roman"/>
                <w:b/>
                <w:bCs/>
                <w:color w:val="000000"/>
                <w:sz w:val="21"/>
                <w:szCs w:val="21"/>
              </w:rPr>
              <w:t>主要环境风险防范措施</w:t>
            </w:r>
          </w:p>
          <w:p w14:paraId="75F2C63E">
            <w:pPr>
              <w:pStyle w:val="11"/>
              <w:shd w:val="clear" w:color="auto" w:fill="FFFFFF"/>
              <w:spacing w:before="0" w:beforeAutospacing="0" w:after="0" w:afterAutospacing="0" w:line="300" w:lineRule="atLeast"/>
              <w:ind w:firstLine="405"/>
              <w:jc w:val="both"/>
              <w:rPr>
                <w:rFonts w:ascii="Times New Roman" w:cs="Times New Roman"/>
                <w:color w:val="0000FF"/>
                <w:sz w:val="21"/>
                <w:szCs w:val="21"/>
              </w:rPr>
            </w:pPr>
            <w:r>
              <w:rPr>
                <w:rFonts w:hint="eastAsia" w:ascii="Times New Roman" w:cs="Times New Roman"/>
                <w:color w:val="auto"/>
                <w:sz w:val="21"/>
                <w:szCs w:val="21"/>
                <w:lang w:eastAsia="zh-CN"/>
              </w:rPr>
              <w:t>桥梁路段设置视频监控、</w:t>
            </w:r>
            <w:r>
              <w:rPr>
                <w:rFonts w:hint="eastAsia" w:ascii="Times New Roman" w:cs="Times New Roman"/>
                <w:color w:val="auto"/>
                <w:sz w:val="21"/>
                <w:szCs w:val="21"/>
              </w:rPr>
              <w:t>连续防撞护栏等环境风险防范措施，同时设置减速慢行、禁止超车等警示标志。加强</w:t>
            </w:r>
            <w:r>
              <w:rPr>
                <w:rFonts w:ascii="Times New Roman" w:cs="Times New Roman"/>
                <w:color w:val="auto"/>
                <w:sz w:val="21"/>
                <w:szCs w:val="21"/>
              </w:rPr>
              <w:t>危险品运输管理。</w:t>
            </w:r>
            <w:r>
              <w:rPr>
                <w:rFonts w:hint="eastAsia" w:ascii="Times New Roman" w:cs="Times New Roman"/>
                <w:color w:val="auto"/>
                <w:sz w:val="21"/>
                <w:szCs w:val="21"/>
              </w:rPr>
              <w:t>制定风险应急预案，降低和控制交通运输带来的环境风险。</w:t>
            </w:r>
          </w:p>
          <w:p w14:paraId="12513887">
            <w:pPr>
              <w:pStyle w:val="11"/>
              <w:numPr>
                <w:ilvl w:val="0"/>
                <w:numId w:val="1"/>
              </w:numPr>
              <w:shd w:val="clear" w:color="auto" w:fill="FFFFFF"/>
              <w:spacing w:before="0" w:beforeAutospacing="0" w:after="0" w:afterAutospacing="0" w:line="300" w:lineRule="atLeast"/>
              <w:ind w:firstLine="405"/>
              <w:jc w:val="both"/>
              <w:rPr>
                <w:rFonts w:ascii="Times New Roman" w:cs="Times New Roman"/>
                <w:b/>
                <w:bCs/>
                <w:color w:val="auto"/>
                <w:sz w:val="21"/>
                <w:szCs w:val="21"/>
              </w:rPr>
            </w:pPr>
            <w:r>
              <w:rPr>
                <w:rFonts w:hint="eastAsia" w:ascii="Times New Roman" w:cs="Times New Roman"/>
                <w:b/>
                <w:bCs/>
                <w:color w:val="auto"/>
                <w:sz w:val="21"/>
                <w:szCs w:val="21"/>
              </w:rPr>
              <w:t>公众参与情况</w:t>
            </w:r>
          </w:p>
          <w:p w14:paraId="3231EEE1">
            <w:pPr>
              <w:pStyle w:val="11"/>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rPr>
              <w:t>建设单位按照《环境影响评价公众参与办法》要求，通过网上公示、登报公示、张贴公告等形式进行了信息公开，征求公众意见，在信息公开期间，未收到反对意见。</w:t>
            </w:r>
          </w:p>
          <w:p w14:paraId="5B470452">
            <w:pPr>
              <w:pStyle w:val="11"/>
              <w:numPr>
                <w:ilvl w:val="0"/>
                <w:numId w:val="1"/>
              </w:numPr>
              <w:shd w:val="clear" w:color="auto" w:fill="FFFFFF"/>
              <w:spacing w:before="0" w:beforeAutospacing="0" w:after="0" w:afterAutospacing="0" w:line="300" w:lineRule="atLeast"/>
              <w:ind w:firstLine="405"/>
              <w:jc w:val="both"/>
              <w:rPr>
                <w:rFonts w:ascii="Times New Roman" w:cs="Times New Roman"/>
                <w:b/>
                <w:bCs/>
                <w:color w:val="auto"/>
                <w:sz w:val="21"/>
                <w:szCs w:val="21"/>
              </w:rPr>
            </w:pPr>
            <w:r>
              <w:rPr>
                <w:rFonts w:hint="eastAsia" w:ascii="Times New Roman" w:cs="Times New Roman"/>
                <w:b/>
                <w:bCs/>
                <w:color w:val="auto"/>
                <w:sz w:val="21"/>
                <w:szCs w:val="21"/>
              </w:rPr>
              <w:t>其他部门意见</w:t>
            </w:r>
          </w:p>
          <w:p w14:paraId="4D9C07AC">
            <w:pPr>
              <w:pStyle w:val="11"/>
              <w:numPr>
                <w:ilvl w:val="0"/>
                <w:numId w:val="2"/>
              </w:numPr>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rPr>
              <w:t>四川省生态环境厅《</w:t>
            </w:r>
            <w:r>
              <w:rPr>
                <w:rFonts w:hint="eastAsia" w:ascii="Times New Roman" w:cs="Times New Roman"/>
                <w:color w:val="auto"/>
                <w:sz w:val="21"/>
                <w:szCs w:val="21"/>
                <w:lang w:eastAsia="zh-CN"/>
              </w:rPr>
              <w:t>关于</w:t>
            </w:r>
            <w:r>
              <w:rPr>
                <w:rFonts w:hint="eastAsia" w:ascii="Times New Roman" w:cs="Times New Roman"/>
                <w:color w:val="auto"/>
                <w:sz w:val="21"/>
                <w:szCs w:val="21"/>
                <w:lang w:val="en-US" w:eastAsia="zh-CN"/>
              </w:rPr>
              <w:t>&lt;</w:t>
            </w:r>
            <w:r>
              <w:rPr>
                <w:rFonts w:hint="eastAsia" w:ascii="Times New Roman" w:cs="Times New Roman"/>
                <w:color w:val="auto"/>
                <w:sz w:val="21"/>
                <w:szCs w:val="21"/>
              </w:rPr>
              <w:t>四川省</w:t>
            </w:r>
            <w:r>
              <w:rPr>
                <w:rFonts w:hint="eastAsia" w:ascii="Times New Roman" w:cs="Times New Roman"/>
                <w:color w:val="auto"/>
                <w:sz w:val="21"/>
                <w:szCs w:val="21"/>
                <w:lang w:eastAsia="zh-CN"/>
              </w:rPr>
              <w:t>普通省道网</w:t>
            </w:r>
            <w:r>
              <w:rPr>
                <w:rFonts w:hint="eastAsia" w:ascii="Times New Roman" w:cs="Times New Roman"/>
                <w:color w:val="auto"/>
                <w:sz w:val="21"/>
                <w:szCs w:val="21"/>
              </w:rPr>
              <w:t>布局规划（2021-2035年）环境影响报告书</w:t>
            </w:r>
            <w:r>
              <w:rPr>
                <w:rFonts w:hint="eastAsia" w:ascii="Times New Roman" w:cs="Times New Roman"/>
                <w:color w:val="auto"/>
                <w:sz w:val="21"/>
                <w:szCs w:val="21"/>
                <w:lang w:val="en-US" w:eastAsia="zh-CN"/>
              </w:rPr>
              <w:t>&gt;</w:t>
            </w:r>
            <w:r>
              <w:rPr>
                <w:rFonts w:hint="eastAsia" w:ascii="Times New Roman" w:cs="Times New Roman"/>
                <w:color w:val="auto"/>
                <w:sz w:val="21"/>
                <w:szCs w:val="21"/>
              </w:rPr>
              <w:t>审查意见的函》（川环建函〔202</w:t>
            </w:r>
            <w:r>
              <w:rPr>
                <w:rFonts w:hint="eastAsia" w:ascii="Times New Roman" w:cs="Times New Roman"/>
                <w:color w:val="auto"/>
                <w:sz w:val="21"/>
                <w:szCs w:val="21"/>
                <w:lang w:val="en-US" w:eastAsia="zh-CN"/>
              </w:rPr>
              <w:t>2</w:t>
            </w:r>
            <w:r>
              <w:rPr>
                <w:rFonts w:hint="eastAsia" w:ascii="Times New Roman" w:cs="Times New Roman"/>
                <w:color w:val="auto"/>
                <w:sz w:val="21"/>
                <w:szCs w:val="21"/>
              </w:rPr>
              <w:t>〕3号）；</w:t>
            </w:r>
          </w:p>
          <w:p w14:paraId="5D3F917E">
            <w:pPr>
              <w:pStyle w:val="11"/>
              <w:numPr>
                <w:ilvl w:val="0"/>
                <w:numId w:val="2"/>
              </w:numPr>
              <w:shd w:val="clear" w:color="auto" w:fill="FFFFFF"/>
              <w:spacing w:before="0" w:beforeAutospacing="0" w:after="0" w:afterAutospacing="0" w:line="300" w:lineRule="atLeast"/>
              <w:ind w:firstLine="405"/>
              <w:jc w:val="both"/>
              <w:rPr>
                <w:rFonts w:ascii="Times New Roman" w:cs="Times New Roman"/>
                <w:color w:val="auto"/>
                <w:sz w:val="21"/>
                <w:szCs w:val="21"/>
              </w:rPr>
            </w:pPr>
            <w:r>
              <w:rPr>
                <w:rFonts w:hint="eastAsia" w:ascii="Times New Roman" w:cs="Times New Roman"/>
                <w:color w:val="auto"/>
                <w:sz w:val="21"/>
                <w:szCs w:val="21"/>
                <w:lang w:eastAsia="zh-CN"/>
              </w:rPr>
              <w:t>达州市生态环境局</w:t>
            </w:r>
            <w:r>
              <w:rPr>
                <w:rFonts w:hint="eastAsia" w:ascii="Times New Roman" w:cs="Times New Roman"/>
                <w:color w:val="auto"/>
                <w:sz w:val="21"/>
                <w:szCs w:val="21"/>
              </w:rPr>
              <w:t>《</w:t>
            </w:r>
            <w:r>
              <w:rPr>
                <w:rFonts w:hint="eastAsia" w:ascii="Times New Roman" w:cs="Times New Roman"/>
                <w:color w:val="auto"/>
                <w:sz w:val="21"/>
                <w:szCs w:val="21"/>
                <w:lang w:eastAsia="zh-CN"/>
              </w:rPr>
              <w:t>关于</w:t>
            </w:r>
            <w:r>
              <w:rPr>
                <w:rFonts w:hint="eastAsia" w:ascii="Times New Roman" w:cs="Times New Roman"/>
                <w:color w:val="auto"/>
                <w:sz w:val="21"/>
                <w:szCs w:val="21"/>
                <w:lang w:val="en-US" w:eastAsia="zh-CN"/>
              </w:rPr>
              <w:t>&lt;</w:t>
            </w:r>
            <w:r>
              <w:rPr>
                <w:rFonts w:hint="eastAsia" w:ascii="Times New Roman" w:cs="Times New Roman"/>
                <w:color w:val="auto"/>
                <w:sz w:val="21"/>
                <w:szCs w:val="21"/>
                <w:lang w:eastAsia="zh-CN"/>
              </w:rPr>
              <w:t>达州市“十四五”综合交通运输发展规划</w:t>
            </w:r>
            <w:r>
              <w:rPr>
                <w:rFonts w:hint="eastAsia" w:ascii="Times New Roman" w:cs="Times New Roman"/>
                <w:color w:val="auto"/>
                <w:sz w:val="21"/>
                <w:szCs w:val="21"/>
              </w:rPr>
              <w:t>环境影响报告书</w:t>
            </w:r>
            <w:r>
              <w:rPr>
                <w:rFonts w:hint="eastAsia" w:ascii="Times New Roman" w:cs="Times New Roman"/>
                <w:color w:val="auto"/>
                <w:sz w:val="21"/>
                <w:szCs w:val="21"/>
                <w:lang w:val="en-US" w:eastAsia="zh-CN"/>
              </w:rPr>
              <w:t>&gt;</w:t>
            </w:r>
            <w:r>
              <w:rPr>
                <w:rFonts w:hint="eastAsia" w:ascii="Times New Roman" w:cs="Times New Roman"/>
                <w:color w:val="auto"/>
                <w:sz w:val="21"/>
                <w:szCs w:val="21"/>
              </w:rPr>
              <w:t>的审查意见》（</w:t>
            </w:r>
            <w:r>
              <w:rPr>
                <w:rFonts w:hint="eastAsia" w:ascii="Times New Roman" w:cs="Times New Roman"/>
                <w:color w:val="auto"/>
                <w:sz w:val="21"/>
                <w:szCs w:val="21"/>
                <w:lang w:eastAsia="zh-CN"/>
              </w:rPr>
              <w:t>达市环</w:t>
            </w:r>
            <w:r>
              <w:rPr>
                <w:rFonts w:hint="eastAsia" w:ascii="Times New Roman" w:cs="Times New Roman"/>
                <w:color w:val="auto"/>
                <w:sz w:val="21"/>
                <w:szCs w:val="21"/>
              </w:rPr>
              <w:t>函〔202</w:t>
            </w:r>
            <w:r>
              <w:rPr>
                <w:rFonts w:hint="eastAsia" w:ascii="Times New Roman" w:cs="Times New Roman"/>
                <w:color w:val="auto"/>
                <w:sz w:val="21"/>
                <w:szCs w:val="21"/>
                <w:lang w:val="en-US" w:eastAsia="zh-CN"/>
              </w:rPr>
              <w:t>1</w:t>
            </w:r>
            <w:r>
              <w:rPr>
                <w:rFonts w:hint="eastAsia" w:ascii="Times New Roman" w:cs="Times New Roman"/>
                <w:color w:val="auto"/>
                <w:sz w:val="21"/>
                <w:szCs w:val="21"/>
              </w:rPr>
              <w:t>〕</w:t>
            </w:r>
            <w:r>
              <w:rPr>
                <w:rFonts w:hint="eastAsia" w:ascii="Times New Roman" w:cs="Times New Roman"/>
                <w:color w:val="auto"/>
                <w:sz w:val="21"/>
                <w:szCs w:val="21"/>
                <w:lang w:val="en-US" w:eastAsia="zh-CN"/>
              </w:rPr>
              <w:t>216</w:t>
            </w:r>
            <w:r>
              <w:rPr>
                <w:rFonts w:hint="eastAsia" w:ascii="Times New Roman" w:cs="Times New Roman"/>
                <w:color w:val="auto"/>
                <w:sz w:val="21"/>
                <w:szCs w:val="21"/>
              </w:rPr>
              <w:t>号）；</w:t>
            </w:r>
          </w:p>
          <w:p w14:paraId="73C74515">
            <w:pPr>
              <w:pStyle w:val="11"/>
              <w:numPr>
                <w:ilvl w:val="0"/>
                <w:numId w:val="2"/>
              </w:numPr>
              <w:shd w:val="clear" w:color="auto" w:fill="FFFFFF"/>
              <w:spacing w:before="0" w:beforeAutospacing="0" w:after="0" w:afterAutospacing="0" w:line="300" w:lineRule="atLeast"/>
              <w:ind w:firstLine="405"/>
              <w:jc w:val="both"/>
              <w:rPr>
                <w:rFonts w:ascii="Times New Roman" w:cs="Times New Roman"/>
                <w:color w:val="000000"/>
                <w:sz w:val="21"/>
                <w:szCs w:val="21"/>
              </w:rPr>
            </w:pPr>
            <w:r>
              <w:rPr>
                <w:rFonts w:hint="eastAsia" w:ascii="Times New Roman" w:cs="Times New Roman"/>
                <w:color w:val="000000"/>
                <w:sz w:val="21"/>
                <w:szCs w:val="21"/>
                <w:lang w:eastAsia="zh-CN"/>
              </w:rPr>
              <w:t>渠县</w:t>
            </w:r>
            <w:r>
              <w:rPr>
                <w:rFonts w:hint="eastAsia" w:ascii="Times New Roman" w:cs="Times New Roman"/>
                <w:color w:val="000000"/>
                <w:sz w:val="21"/>
                <w:szCs w:val="21"/>
              </w:rPr>
              <w:t>发展和改革</w:t>
            </w:r>
            <w:r>
              <w:rPr>
                <w:rFonts w:hint="eastAsia" w:ascii="Times New Roman" w:cs="Times New Roman"/>
                <w:color w:val="000000"/>
                <w:sz w:val="21"/>
                <w:szCs w:val="21"/>
                <w:lang w:eastAsia="zh-CN"/>
              </w:rPr>
              <w:t>局</w:t>
            </w:r>
            <w:r>
              <w:rPr>
                <w:rFonts w:hint="eastAsia" w:ascii="Times New Roman" w:cs="Times New Roman"/>
                <w:color w:val="000000"/>
                <w:sz w:val="21"/>
                <w:szCs w:val="21"/>
              </w:rPr>
              <w:t>《关于S405渠县牌坊至铜鼓段改建工程</w:t>
            </w:r>
            <w:r>
              <w:rPr>
                <w:rFonts w:hint="eastAsia" w:ascii="Times New Roman" w:cs="Times New Roman"/>
                <w:color w:val="000000"/>
                <w:sz w:val="21"/>
                <w:szCs w:val="21"/>
                <w:lang w:eastAsia="zh-CN"/>
              </w:rPr>
              <w:t>可行性研究报告</w:t>
            </w:r>
            <w:r>
              <w:rPr>
                <w:rFonts w:hint="eastAsia" w:ascii="Times New Roman" w:cs="Times New Roman"/>
                <w:color w:val="000000"/>
                <w:sz w:val="21"/>
                <w:szCs w:val="21"/>
              </w:rPr>
              <w:t>的批复》（</w:t>
            </w:r>
            <w:r>
              <w:rPr>
                <w:rFonts w:hint="eastAsia" w:ascii="Times New Roman" w:cs="Times New Roman"/>
                <w:color w:val="000000"/>
                <w:sz w:val="21"/>
                <w:szCs w:val="21"/>
                <w:lang w:eastAsia="zh-CN"/>
              </w:rPr>
              <w:t>渠</w:t>
            </w:r>
            <w:r>
              <w:rPr>
                <w:rFonts w:hint="eastAsia" w:ascii="Times New Roman" w:cs="Times New Roman"/>
                <w:color w:val="000000"/>
                <w:sz w:val="21"/>
                <w:szCs w:val="21"/>
              </w:rPr>
              <w:t>发改</w:t>
            </w:r>
            <w:r>
              <w:rPr>
                <w:rFonts w:hint="eastAsia" w:ascii="Times New Roman" w:cs="Times New Roman"/>
                <w:color w:val="000000"/>
                <w:sz w:val="21"/>
                <w:szCs w:val="21"/>
                <w:lang w:eastAsia="zh-CN"/>
              </w:rPr>
              <w:t>审</w:t>
            </w:r>
            <w:r>
              <w:rPr>
                <w:rFonts w:hint="eastAsia" w:ascii="Times New Roman" w:cs="Times New Roman"/>
                <w:color w:val="000000"/>
                <w:sz w:val="21"/>
                <w:szCs w:val="21"/>
              </w:rPr>
              <w:t>〔2022〕</w:t>
            </w:r>
            <w:r>
              <w:rPr>
                <w:rFonts w:hint="eastAsia" w:ascii="Times New Roman" w:cs="Times New Roman"/>
                <w:color w:val="000000"/>
                <w:sz w:val="21"/>
                <w:szCs w:val="21"/>
                <w:lang w:val="en-US" w:eastAsia="zh-CN"/>
              </w:rPr>
              <w:t>188</w:t>
            </w:r>
            <w:r>
              <w:rPr>
                <w:rFonts w:hint="eastAsia" w:ascii="Times New Roman" w:cs="Times New Roman"/>
                <w:color w:val="000000"/>
                <w:sz w:val="21"/>
                <w:szCs w:val="21"/>
              </w:rPr>
              <w:t>号）；</w:t>
            </w:r>
          </w:p>
          <w:p w14:paraId="2FCFE1E6">
            <w:pPr>
              <w:pStyle w:val="11"/>
              <w:numPr>
                <w:ilvl w:val="0"/>
                <w:numId w:val="2"/>
              </w:numPr>
              <w:shd w:val="clear" w:color="auto" w:fill="FFFFFF"/>
              <w:spacing w:before="0" w:beforeAutospacing="0" w:after="0" w:afterAutospacing="0" w:line="300" w:lineRule="atLeast"/>
              <w:ind w:firstLine="405"/>
              <w:jc w:val="both"/>
              <w:rPr>
                <w:rFonts w:ascii="Times New Roman" w:cs="Times New Roman"/>
                <w:color w:val="000000"/>
                <w:sz w:val="21"/>
                <w:szCs w:val="21"/>
              </w:rPr>
            </w:pPr>
            <w:r>
              <w:rPr>
                <w:rFonts w:hint="eastAsia" w:ascii="Times New Roman" w:cs="Times New Roman"/>
                <w:color w:val="auto"/>
                <w:sz w:val="21"/>
                <w:szCs w:val="21"/>
                <w:lang w:eastAsia="zh-CN"/>
              </w:rPr>
              <w:t>渠县自然资源局《关于渠县牌坊至铜鼓段改建工程用地预审与选址意见的复函》（渠自然资预审</w:t>
            </w:r>
            <w:r>
              <w:rPr>
                <w:rFonts w:hint="eastAsia" w:ascii="Times New Roman" w:cs="Times New Roman"/>
                <w:color w:val="auto"/>
                <w:sz w:val="21"/>
                <w:szCs w:val="21"/>
              </w:rPr>
              <w:t>〔2023〕</w:t>
            </w:r>
            <w:r>
              <w:rPr>
                <w:rFonts w:hint="eastAsia" w:ascii="Times New Roman" w:cs="Times New Roman"/>
                <w:color w:val="auto"/>
                <w:sz w:val="21"/>
                <w:szCs w:val="21"/>
                <w:lang w:val="en-US" w:eastAsia="zh-CN"/>
              </w:rPr>
              <w:t>4</w:t>
            </w:r>
            <w:r>
              <w:rPr>
                <w:rFonts w:hint="eastAsia" w:ascii="Times New Roman" w:cs="Times New Roman"/>
                <w:color w:val="auto"/>
                <w:sz w:val="21"/>
                <w:szCs w:val="21"/>
              </w:rPr>
              <w:t>号</w:t>
            </w:r>
            <w:r>
              <w:rPr>
                <w:rFonts w:hint="eastAsia" w:ascii="Times New Roman" w:cs="Times New Roman"/>
                <w:color w:val="auto"/>
                <w:sz w:val="21"/>
                <w:szCs w:val="21"/>
                <w:lang w:eastAsia="zh-CN"/>
              </w:rPr>
              <w:t>）</w:t>
            </w:r>
          </w:p>
        </w:tc>
      </w:tr>
    </w:tbl>
    <w:p w14:paraId="23CCB3DC">
      <w:pPr>
        <w:rPr>
          <w:color w:val="000000"/>
          <w:sz w:val="21"/>
          <w:szCs w:val="21"/>
        </w:rPr>
      </w:pPr>
      <w:bookmarkStart w:id="0" w:name="_GoBack"/>
      <w:bookmarkEnd w:id="0"/>
    </w:p>
    <w:p w14:paraId="5456840B">
      <w:pPr>
        <w:pStyle w:val="11"/>
        <w:shd w:val="clear" w:color="auto" w:fill="FFFFFF"/>
        <w:spacing w:before="0" w:beforeAutospacing="0" w:after="0" w:afterAutospacing="0" w:line="300" w:lineRule="atLeast"/>
        <w:jc w:val="both"/>
        <w:rPr>
          <w:color w:val="000000"/>
          <w:sz w:val="21"/>
          <w:szCs w:val="21"/>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E94A2"/>
    <w:multiLevelType w:val="singleLevel"/>
    <w:tmpl w:val="B4EE94A2"/>
    <w:lvl w:ilvl="0" w:tentative="0">
      <w:start w:val="1"/>
      <w:numFmt w:val="chineseCounting"/>
      <w:suff w:val="nothing"/>
      <w:lvlText w:val="%1、"/>
      <w:lvlJc w:val="left"/>
      <w:rPr>
        <w:rFonts w:hint="eastAsia"/>
      </w:rPr>
    </w:lvl>
  </w:abstractNum>
  <w:abstractNum w:abstractNumId="1">
    <w:nsid w:val="EDBA511C"/>
    <w:multiLevelType w:val="singleLevel"/>
    <w:tmpl w:val="EDBA511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A3YmE1MGVhYzgwYWY5ZmFkOGJkOTUyNGE0MTk3ZWMifQ=="/>
  </w:docVars>
  <w:rsids>
    <w:rsidRoot w:val="00D25A2F"/>
    <w:rsid w:val="006E228F"/>
    <w:rsid w:val="00A62B3D"/>
    <w:rsid w:val="00D25A2F"/>
    <w:rsid w:val="028662B9"/>
    <w:rsid w:val="0B45535F"/>
    <w:rsid w:val="188F5625"/>
    <w:rsid w:val="1E2329B4"/>
    <w:rsid w:val="1ED26A03"/>
    <w:rsid w:val="1EFD7390"/>
    <w:rsid w:val="230227AB"/>
    <w:rsid w:val="2B873E78"/>
    <w:rsid w:val="2CE7730B"/>
    <w:rsid w:val="2F530909"/>
    <w:rsid w:val="30FC590F"/>
    <w:rsid w:val="35CDFAAB"/>
    <w:rsid w:val="3F6D3B46"/>
    <w:rsid w:val="44091866"/>
    <w:rsid w:val="4CDF1F4C"/>
    <w:rsid w:val="589A55C4"/>
    <w:rsid w:val="59476C25"/>
    <w:rsid w:val="5A655962"/>
    <w:rsid w:val="5BCBDCD7"/>
    <w:rsid w:val="5BD47131"/>
    <w:rsid w:val="5E3D31C6"/>
    <w:rsid w:val="603D1CD6"/>
    <w:rsid w:val="657EDB8F"/>
    <w:rsid w:val="6972587E"/>
    <w:rsid w:val="6B7E7523"/>
    <w:rsid w:val="71BF4417"/>
    <w:rsid w:val="76FBFA1D"/>
    <w:rsid w:val="797948D0"/>
    <w:rsid w:val="7FFFA18B"/>
    <w:rsid w:val="96F7EC78"/>
    <w:rsid w:val="9AFFC751"/>
    <w:rsid w:val="BFFD7FC4"/>
    <w:rsid w:val="E3FF126E"/>
    <w:rsid w:val="E5BDBF6B"/>
    <w:rsid w:val="F57F241C"/>
    <w:rsid w:val="F7E39E3B"/>
    <w:rsid w:val="FBF376B8"/>
    <w:rsid w:val="FDBC0B67"/>
    <w:rsid w:val="FEFD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eastAsia="等线"/>
      <w:b/>
      <w:kern w:val="44"/>
      <w:sz w:val="44"/>
      <w:szCs w:val="20"/>
    </w:rPr>
  </w:style>
  <w:style w:type="paragraph" w:styleId="4">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6">
    <w:name w:val="annotation text"/>
    <w:basedOn w:val="1"/>
    <w:qFormat/>
    <w:uiPriority w:val="0"/>
    <w:pPr>
      <w:jc w:val="left"/>
    </w:pPr>
  </w:style>
  <w:style w:type="paragraph" w:styleId="7">
    <w:name w:val="Body Text Indent"/>
    <w:basedOn w:val="1"/>
    <w:next w:val="1"/>
    <w:qFormat/>
    <w:uiPriority w:val="0"/>
    <w:pPr>
      <w:spacing w:after="120"/>
      <w:ind w:left="20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rPr>
  </w:style>
  <w:style w:type="paragraph" w:styleId="10">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paragraph" w:styleId="12">
    <w:name w:val="annotation subject"/>
    <w:basedOn w:val="6"/>
    <w:next w:val="6"/>
    <w:qFormat/>
    <w:uiPriority w:val="0"/>
    <w:rPr>
      <w:b/>
    </w:rPr>
  </w:style>
  <w:style w:type="paragraph" w:styleId="13">
    <w:name w:val="Body Text First Indent 2"/>
    <w:basedOn w:val="7"/>
    <w:qFormat/>
    <w:uiPriority w:val="0"/>
    <w:pPr>
      <w:ind w:firstLine="200" w:firstLineChars="200"/>
    </w:pPr>
  </w:style>
  <w:style w:type="paragraph" w:customStyle="1" w:styleId="16">
    <w:name w:val="正文2"/>
    <w:basedOn w:val="7"/>
    <w:next w:val="1"/>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ca-41"/>
    <w:qFormat/>
    <w:uiPriority w:val="0"/>
    <w:rPr>
      <w:rFonts w:ascii="宋体" w:eastAsia="宋体"/>
      <w:sz w:val="24"/>
      <w:szCs w:val="24"/>
    </w:rPr>
  </w:style>
  <w:style w:type="paragraph" w:customStyle="1" w:styleId="19">
    <w:name w:val="正文样式"/>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ICOS</Company>
  <Pages>2</Pages>
  <Words>4763</Words>
  <Characters>4992</Characters>
  <Lines>14</Lines>
  <Paragraphs>4</Paragraphs>
  <TotalTime>1</TotalTime>
  <ScaleCrop>false</ScaleCrop>
  <LinksUpToDate>false</LinksUpToDate>
  <CharactersWithSpaces>4995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2024-05-06T06:21:00Z</dcterms:created>
  <dc:creator>木林之风@</dc:creator>
  <cp:lastModifiedBy>Administrator</cp:lastModifiedBy>
  <dcterms:modified xsi:type="dcterms:W3CDTF">2024-11-14T07:00:21Z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D5DE6D1B2F124ABF96E04CB858BDD665_13</vt:lpwstr>
  </property>
</Properties>
</file>