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1" w:rightFromText="181" w:vertAnchor="text" w:horzAnchor="page" w:tblpXSpec="center" w:tblpY="1"/>
        <w:tblOverlap w:val="never"/>
        <w:tblW w:w="16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735"/>
        <w:gridCol w:w="795"/>
        <w:gridCol w:w="810"/>
        <w:gridCol w:w="975"/>
        <w:gridCol w:w="4635"/>
        <w:gridCol w:w="7564"/>
      </w:tblGrid>
      <w:tr w14:paraId="3806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14:paraId="4942693C">
            <w:pPr>
              <w:adjustRightInd w:val="0"/>
              <w:snapToGrid w:val="0"/>
              <w:jc w:val="center"/>
              <w:rPr>
                <w:b/>
                <w:bCs/>
              </w:rPr>
            </w:pPr>
            <w:r>
              <w:rPr>
                <w:b/>
                <w:bCs/>
              </w:rPr>
              <w:t>序号</w:t>
            </w:r>
          </w:p>
        </w:tc>
        <w:tc>
          <w:tcPr>
            <w:tcW w:w="735" w:type="dxa"/>
            <w:tcBorders>
              <w:top w:val="single" w:color="auto" w:sz="4" w:space="0"/>
              <w:left w:val="single" w:color="auto" w:sz="4" w:space="0"/>
              <w:bottom w:val="single" w:color="auto" w:sz="4" w:space="0"/>
              <w:right w:val="single" w:color="auto" w:sz="4" w:space="0"/>
            </w:tcBorders>
            <w:noWrap/>
            <w:vAlign w:val="center"/>
          </w:tcPr>
          <w:p w14:paraId="16A4D20A">
            <w:pPr>
              <w:adjustRightInd w:val="0"/>
              <w:snapToGrid w:val="0"/>
              <w:jc w:val="center"/>
              <w:rPr>
                <w:b/>
                <w:bCs/>
              </w:rPr>
            </w:pPr>
            <w:r>
              <w:rPr>
                <w:b/>
                <w:bCs/>
              </w:rPr>
              <w:t>项目名称</w:t>
            </w:r>
          </w:p>
        </w:tc>
        <w:tc>
          <w:tcPr>
            <w:tcW w:w="795" w:type="dxa"/>
            <w:tcBorders>
              <w:top w:val="single" w:color="auto" w:sz="4" w:space="0"/>
              <w:left w:val="single" w:color="auto" w:sz="4" w:space="0"/>
              <w:bottom w:val="single" w:color="auto" w:sz="4" w:space="0"/>
              <w:right w:val="single" w:color="auto" w:sz="4" w:space="0"/>
            </w:tcBorders>
            <w:noWrap/>
            <w:vAlign w:val="center"/>
          </w:tcPr>
          <w:p w14:paraId="1CA86C94">
            <w:pPr>
              <w:adjustRightInd w:val="0"/>
              <w:snapToGrid w:val="0"/>
              <w:jc w:val="center"/>
              <w:rPr>
                <w:b/>
                <w:bCs/>
              </w:rPr>
            </w:pPr>
            <w:r>
              <w:rPr>
                <w:b/>
                <w:bCs/>
              </w:rPr>
              <w:t>建设</w:t>
            </w:r>
          </w:p>
          <w:p w14:paraId="7BA437C8">
            <w:pPr>
              <w:adjustRightInd w:val="0"/>
              <w:snapToGrid w:val="0"/>
              <w:jc w:val="center"/>
              <w:rPr>
                <w:b/>
                <w:bCs/>
              </w:rPr>
            </w:pPr>
            <w:r>
              <w:rPr>
                <w:b/>
                <w:bCs/>
              </w:rPr>
              <w:t>地点</w:t>
            </w:r>
          </w:p>
        </w:tc>
        <w:tc>
          <w:tcPr>
            <w:tcW w:w="810" w:type="dxa"/>
            <w:tcBorders>
              <w:top w:val="single" w:color="auto" w:sz="4" w:space="0"/>
              <w:left w:val="single" w:color="auto" w:sz="4" w:space="0"/>
              <w:bottom w:val="single" w:color="auto" w:sz="4" w:space="0"/>
              <w:right w:val="single" w:color="auto" w:sz="4" w:space="0"/>
            </w:tcBorders>
            <w:noWrap/>
            <w:vAlign w:val="center"/>
          </w:tcPr>
          <w:p w14:paraId="2EADFC31">
            <w:pPr>
              <w:adjustRightInd w:val="0"/>
              <w:snapToGrid w:val="0"/>
              <w:jc w:val="center"/>
              <w:rPr>
                <w:b/>
                <w:bCs/>
              </w:rPr>
            </w:pPr>
            <w:r>
              <w:rPr>
                <w:b/>
                <w:bCs/>
              </w:rPr>
              <w:t>建设</w:t>
            </w:r>
          </w:p>
          <w:p w14:paraId="225AF064">
            <w:pPr>
              <w:adjustRightInd w:val="0"/>
              <w:snapToGrid w:val="0"/>
              <w:jc w:val="center"/>
              <w:rPr>
                <w:b/>
                <w:bCs/>
              </w:rPr>
            </w:pPr>
            <w:r>
              <w:rPr>
                <w:b/>
                <w:bCs/>
              </w:rPr>
              <w:t>单位</w:t>
            </w:r>
          </w:p>
        </w:tc>
        <w:tc>
          <w:tcPr>
            <w:tcW w:w="975" w:type="dxa"/>
            <w:tcBorders>
              <w:top w:val="single" w:color="auto" w:sz="4" w:space="0"/>
              <w:left w:val="single" w:color="auto" w:sz="4" w:space="0"/>
              <w:bottom w:val="single" w:color="auto" w:sz="4" w:space="0"/>
              <w:right w:val="single" w:color="auto" w:sz="4" w:space="0"/>
            </w:tcBorders>
            <w:noWrap/>
            <w:vAlign w:val="center"/>
          </w:tcPr>
          <w:p w14:paraId="1E7235BC">
            <w:pPr>
              <w:adjustRightInd w:val="0"/>
              <w:snapToGrid w:val="0"/>
              <w:jc w:val="center"/>
              <w:rPr>
                <w:b/>
                <w:bCs/>
              </w:rPr>
            </w:pPr>
            <w:r>
              <w:rPr>
                <w:b/>
                <w:bCs/>
              </w:rPr>
              <w:t>环境影响评价机构</w:t>
            </w:r>
          </w:p>
        </w:tc>
        <w:tc>
          <w:tcPr>
            <w:tcW w:w="4635" w:type="dxa"/>
            <w:tcBorders>
              <w:top w:val="single" w:color="auto" w:sz="4" w:space="0"/>
              <w:left w:val="single" w:color="auto" w:sz="4" w:space="0"/>
              <w:bottom w:val="single" w:color="auto" w:sz="4" w:space="0"/>
              <w:right w:val="single" w:color="auto" w:sz="4" w:space="0"/>
            </w:tcBorders>
            <w:noWrap/>
            <w:vAlign w:val="center"/>
          </w:tcPr>
          <w:p w14:paraId="6BF38AC6">
            <w:pPr>
              <w:adjustRightInd w:val="0"/>
              <w:snapToGrid w:val="0"/>
              <w:jc w:val="center"/>
              <w:rPr>
                <w:b/>
                <w:bCs/>
              </w:rPr>
            </w:pPr>
            <w:r>
              <w:rPr>
                <w:b/>
                <w:bCs/>
              </w:rPr>
              <w:t>项目概况</w:t>
            </w:r>
          </w:p>
        </w:tc>
        <w:tc>
          <w:tcPr>
            <w:tcW w:w="7564" w:type="dxa"/>
            <w:tcBorders>
              <w:top w:val="single" w:color="auto" w:sz="4" w:space="0"/>
              <w:left w:val="single" w:color="auto" w:sz="4" w:space="0"/>
              <w:bottom w:val="single" w:color="auto" w:sz="4" w:space="0"/>
              <w:right w:val="single" w:color="auto" w:sz="4" w:space="0"/>
            </w:tcBorders>
            <w:noWrap/>
            <w:vAlign w:val="center"/>
          </w:tcPr>
          <w:p w14:paraId="10810A53">
            <w:pPr>
              <w:adjustRightInd w:val="0"/>
              <w:snapToGrid w:val="0"/>
              <w:jc w:val="center"/>
              <w:rPr>
                <w:b/>
                <w:bCs/>
              </w:rPr>
            </w:pPr>
            <w:r>
              <w:rPr>
                <w:b/>
                <w:bCs/>
              </w:rPr>
              <w:t>主要环境影响及预防或者减轻</w:t>
            </w:r>
          </w:p>
          <w:p w14:paraId="5A4BADA0">
            <w:pPr>
              <w:adjustRightInd w:val="0"/>
              <w:snapToGrid w:val="0"/>
              <w:jc w:val="center"/>
              <w:rPr>
                <w:b/>
                <w:bCs/>
              </w:rPr>
            </w:pPr>
            <w:r>
              <w:rPr>
                <w:b/>
                <w:bCs/>
              </w:rPr>
              <w:t>不良环境影响的对策和措施</w:t>
            </w:r>
          </w:p>
        </w:tc>
      </w:tr>
      <w:tr w14:paraId="6373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noWrap/>
            <w:vAlign w:val="center"/>
          </w:tcPr>
          <w:p w14:paraId="2D9E2F0B">
            <w:pPr>
              <w:jc w:val="center"/>
              <w:rPr>
                <w:b/>
                <w:bCs/>
              </w:rPr>
            </w:pPr>
            <w:r>
              <w:t>1</w:t>
            </w:r>
          </w:p>
        </w:tc>
        <w:tc>
          <w:tcPr>
            <w:tcW w:w="735" w:type="dxa"/>
            <w:tcBorders>
              <w:top w:val="single" w:color="auto" w:sz="4" w:space="0"/>
              <w:left w:val="single" w:color="auto" w:sz="4" w:space="0"/>
              <w:bottom w:val="single" w:color="auto" w:sz="4" w:space="0"/>
              <w:right w:val="single" w:color="auto" w:sz="4" w:space="0"/>
            </w:tcBorders>
            <w:noWrap/>
            <w:vAlign w:val="center"/>
          </w:tcPr>
          <w:p w14:paraId="26A8497F">
            <w:pPr>
              <w:jc w:val="center"/>
              <w:rPr>
                <w:rFonts w:hint="default" w:eastAsia="宋体"/>
                <w:b w:val="0"/>
                <w:bCs w:val="0"/>
                <w:lang w:val="en-US" w:eastAsia="zh-CN"/>
              </w:rPr>
            </w:pPr>
            <w:r>
              <w:rPr>
                <w:rFonts w:hint="eastAsia"/>
                <w:b w:val="0"/>
                <w:bCs w:val="0"/>
              </w:rPr>
              <w:t>达州经开区亭子医院</w:t>
            </w:r>
            <w:r>
              <w:rPr>
                <w:rFonts w:hint="eastAsia"/>
                <w:b w:val="0"/>
                <w:bCs w:val="0"/>
                <w:lang w:eastAsia="zh-CN"/>
              </w:rPr>
              <w:t>（</w:t>
            </w:r>
            <w:r>
              <w:rPr>
                <w:rFonts w:hint="eastAsia"/>
                <w:b w:val="0"/>
                <w:bCs w:val="0"/>
                <w:lang w:val="en-US" w:eastAsia="zh-CN"/>
              </w:rPr>
              <w:t>重新报批）</w:t>
            </w:r>
          </w:p>
        </w:tc>
        <w:tc>
          <w:tcPr>
            <w:tcW w:w="795" w:type="dxa"/>
            <w:tcBorders>
              <w:top w:val="single" w:color="auto" w:sz="4" w:space="0"/>
              <w:left w:val="single" w:color="auto" w:sz="4" w:space="0"/>
              <w:bottom w:val="single" w:color="auto" w:sz="4" w:space="0"/>
              <w:right w:val="single" w:color="auto" w:sz="4" w:space="0"/>
            </w:tcBorders>
            <w:noWrap/>
            <w:vAlign w:val="center"/>
          </w:tcPr>
          <w:p w14:paraId="3FB9261B">
            <w:pPr>
              <w:jc w:val="center"/>
              <w:rPr>
                <w:b w:val="0"/>
                <w:bCs w:val="0"/>
              </w:rPr>
            </w:pPr>
            <w:r>
              <w:rPr>
                <w:rFonts w:hint="eastAsia"/>
                <w:b w:val="0"/>
                <w:bCs w:val="0"/>
              </w:rPr>
              <w:t>四川省达州市达州东部经济开发区亭子镇</w:t>
            </w:r>
          </w:p>
        </w:tc>
        <w:tc>
          <w:tcPr>
            <w:tcW w:w="810" w:type="dxa"/>
            <w:tcBorders>
              <w:top w:val="single" w:color="auto" w:sz="4" w:space="0"/>
              <w:left w:val="single" w:color="auto" w:sz="4" w:space="0"/>
              <w:bottom w:val="single" w:color="auto" w:sz="4" w:space="0"/>
              <w:right w:val="single" w:color="auto" w:sz="4" w:space="0"/>
            </w:tcBorders>
            <w:noWrap/>
            <w:vAlign w:val="center"/>
          </w:tcPr>
          <w:p w14:paraId="670C6F36">
            <w:pPr>
              <w:jc w:val="center"/>
              <w:rPr>
                <w:b w:val="0"/>
                <w:bCs w:val="0"/>
              </w:rPr>
            </w:pPr>
            <w:r>
              <w:rPr>
                <w:rFonts w:hint="eastAsia"/>
                <w:b w:val="0"/>
                <w:bCs w:val="0"/>
              </w:rPr>
              <w:t>四川达州东部经济开发区社会事业局</w:t>
            </w:r>
          </w:p>
        </w:tc>
        <w:tc>
          <w:tcPr>
            <w:tcW w:w="975" w:type="dxa"/>
            <w:tcBorders>
              <w:top w:val="single" w:color="auto" w:sz="4" w:space="0"/>
              <w:left w:val="single" w:color="auto" w:sz="4" w:space="0"/>
              <w:bottom w:val="single" w:color="auto" w:sz="4" w:space="0"/>
              <w:right w:val="single" w:color="auto" w:sz="4" w:space="0"/>
            </w:tcBorders>
            <w:noWrap/>
            <w:vAlign w:val="center"/>
          </w:tcPr>
          <w:p w14:paraId="2089C5F1">
            <w:pPr>
              <w:jc w:val="center"/>
              <w:rPr>
                <w:rFonts w:hint="default" w:eastAsia="宋体"/>
                <w:b w:val="0"/>
                <w:bCs w:val="0"/>
                <w:lang w:val="en-US" w:eastAsia="zh-CN"/>
              </w:rPr>
            </w:pPr>
            <w:r>
              <w:rPr>
                <w:rFonts w:hint="eastAsia"/>
                <w:b w:val="0"/>
                <w:bCs w:val="0"/>
                <w:lang w:val="en-US" w:eastAsia="zh-CN"/>
              </w:rPr>
              <w:t>四川省中栎环保科技有限公司</w:t>
            </w:r>
          </w:p>
        </w:tc>
        <w:tc>
          <w:tcPr>
            <w:tcW w:w="4635" w:type="dxa"/>
            <w:tcBorders>
              <w:top w:val="single" w:color="auto" w:sz="4" w:space="0"/>
              <w:left w:val="single" w:color="auto" w:sz="4" w:space="0"/>
              <w:bottom w:val="single" w:color="auto" w:sz="4" w:space="0"/>
              <w:right w:val="single" w:color="auto" w:sz="4" w:space="0"/>
            </w:tcBorders>
            <w:noWrap/>
            <w:vAlign w:val="center"/>
          </w:tcPr>
          <w:p w14:paraId="5492A7EA">
            <w:pPr>
              <w:pStyle w:val="21"/>
              <w:spacing w:line="300" w:lineRule="atLeast"/>
              <w:ind w:left="0" w:leftChars="0" w:firstLine="0" w:firstLineChars="0"/>
              <w:rPr>
                <w:rFonts w:hint="default" w:eastAsia="宋体"/>
                <w:color w:val="000000"/>
                <w:szCs w:val="21"/>
                <w:lang w:val="en-US" w:eastAsia="zh-CN"/>
              </w:rPr>
            </w:pPr>
            <w:r>
              <w:rPr>
                <w:rFonts w:hint="default" w:ascii="Times New Roman" w:hAnsi="Times New Roman" w:eastAsia="宋体" w:cs="Times New Roman"/>
                <w:b w:val="0"/>
                <w:bCs w:val="0"/>
                <w:kern w:val="2"/>
                <w:sz w:val="21"/>
                <w:szCs w:val="24"/>
                <w:lang w:val="en-US" w:eastAsia="zh-CN" w:bidi="ar-SA"/>
              </w:rPr>
              <w:t>该项目位于四川省达州东部经开区亭子镇，主要建设医疗综合楼、医技污水处理站</w:t>
            </w:r>
            <w:r>
              <w:rPr>
                <w:rFonts w:hint="eastAsia" w:ascii="Times New Roman" w:cs="Times New Roman"/>
                <w:b w:val="0"/>
                <w:bCs w:val="0"/>
                <w:kern w:val="2"/>
                <w:sz w:val="21"/>
                <w:szCs w:val="24"/>
                <w:lang w:val="en-US" w:eastAsia="zh-CN" w:bidi="ar-SA"/>
              </w:rPr>
              <w:t>、</w:t>
            </w:r>
            <w:r>
              <w:rPr>
                <w:rFonts w:hint="default" w:ascii="Times New Roman" w:hAnsi="Times New Roman" w:eastAsia="宋体" w:cs="Times New Roman"/>
                <w:b w:val="0"/>
                <w:bCs w:val="0"/>
                <w:kern w:val="2"/>
                <w:sz w:val="21"/>
                <w:szCs w:val="24"/>
                <w:lang w:val="en-US" w:eastAsia="zh-CN" w:bidi="ar-SA"/>
              </w:rPr>
              <w:t>地下车库综合体及2套0.58MW的天然气热水锅炉（总容量为1.16MW），主要设置儿科、药学科、急诊科妇产科、耳鼻咽喉科、口腔科、皮肤科、中医科、康复科、超声医学科、心血管内科、医学影像科、医学检验科、消化内科等科室（不设置传染病科）。住院床位110张，项目建筑面积48636.43m2，总投资43355.8万元（其中：环保投资为154万元）。</w:t>
            </w:r>
          </w:p>
        </w:tc>
        <w:tc>
          <w:tcPr>
            <w:tcW w:w="7564" w:type="dxa"/>
            <w:tcBorders>
              <w:top w:val="single" w:color="auto" w:sz="4" w:space="0"/>
              <w:left w:val="single" w:color="auto" w:sz="4" w:space="0"/>
              <w:bottom w:val="single" w:color="auto" w:sz="4" w:space="0"/>
              <w:right w:val="single" w:color="auto" w:sz="4" w:space="0"/>
            </w:tcBorders>
            <w:noWrap/>
            <w:vAlign w:val="center"/>
          </w:tcPr>
          <w:p w14:paraId="16F8642D">
            <w:pPr>
              <w:pStyle w:val="11"/>
              <w:numPr>
                <w:ilvl w:val="0"/>
                <w:numId w:val="0"/>
              </w:numPr>
              <w:shd w:val="clear" w:color="auto" w:fill="FFFFFF"/>
              <w:spacing w:before="0" w:beforeAutospacing="0" w:after="0" w:afterAutospacing="0" w:line="300" w:lineRule="atLeast"/>
              <w:jc w:val="both"/>
              <w:rPr>
                <w:rFonts w:ascii="Times New Roman" w:cs="Times New Roman"/>
                <w:b/>
                <w:bCs/>
                <w:color w:val="000000"/>
                <w:sz w:val="21"/>
                <w:szCs w:val="21"/>
              </w:rPr>
            </w:pPr>
            <w:r>
              <w:rPr>
                <w:rFonts w:hint="eastAsia" w:ascii="Times New Roman" w:cs="Times New Roman"/>
                <w:b/>
                <w:bCs/>
                <w:color w:val="000000"/>
                <w:sz w:val="21"/>
                <w:szCs w:val="21"/>
                <w:lang w:eastAsia="zh-CN"/>
              </w:rPr>
              <w:t>一、</w:t>
            </w:r>
            <w:r>
              <w:rPr>
                <w:rFonts w:hint="eastAsia" w:ascii="Times New Roman" w:cs="Times New Roman"/>
                <w:b/>
                <w:bCs/>
                <w:color w:val="000000"/>
                <w:sz w:val="21"/>
                <w:szCs w:val="21"/>
              </w:rPr>
              <w:t>施工期主要环境保护措施</w:t>
            </w:r>
          </w:p>
          <w:p w14:paraId="1188522A">
            <w:pPr>
              <w:pStyle w:val="11"/>
              <w:shd w:val="clear" w:color="auto" w:fill="FFFFFF"/>
              <w:spacing w:before="0" w:beforeAutospacing="0" w:after="0" w:afterAutospacing="0" w:line="300" w:lineRule="atLeast"/>
              <w:ind w:firstLine="405"/>
              <w:jc w:val="both"/>
              <w:rPr>
                <w:rFonts w:hint="eastAsia" w:ascii="Times New Roman" w:eastAsia="宋体" w:cs="Times New Roman"/>
                <w:color w:val="auto"/>
                <w:sz w:val="21"/>
                <w:szCs w:val="21"/>
                <w:lang w:eastAsia="zh-CN"/>
              </w:rPr>
            </w:pPr>
            <w:r>
              <w:rPr>
                <w:rFonts w:hint="eastAsia" w:ascii="Times New Roman" w:cs="Times New Roman"/>
                <w:color w:val="auto"/>
                <w:sz w:val="21"/>
                <w:szCs w:val="21"/>
              </w:rPr>
              <w:t>（</w:t>
            </w:r>
            <w:r>
              <w:rPr>
                <w:rFonts w:hint="eastAsia" w:ascii="Times New Roman" w:cs="Times New Roman"/>
                <w:color w:val="auto"/>
                <w:sz w:val="21"/>
                <w:szCs w:val="21"/>
                <w:lang w:val="en-US" w:eastAsia="zh-CN"/>
              </w:rPr>
              <w:t>一</w:t>
            </w:r>
            <w:r>
              <w:rPr>
                <w:rFonts w:hint="eastAsia" w:ascii="Times New Roman" w:cs="Times New Roman"/>
                <w:color w:val="auto"/>
                <w:sz w:val="21"/>
                <w:szCs w:val="21"/>
              </w:rPr>
              <w:t>）</w:t>
            </w:r>
            <w:r>
              <w:rPr>
                <w:rFonts w:hint="eastAsia" w:ascii="Times New Roman" w:cs="Times New Roman"/>
                <w:color w:val="auto"/>
                <w:sz w:val="21"/>
                <w:szCs w:val="21"/>
                <w:lang w:val="en-US" w:eastAsia="zh-CN"/>
              </w:rPr>
              <w:t>废水</w:t>
            </w:r>
          </w:p>
          <w:p w14:paraId="27A27FF7">
            <w:pPr>
              <w:pStyle w:val="11"/>
              <w:shd w:val="clear" w:color="auto" w:fill="FFFFFF"/>
              <w:spacing w:before="0" w:beforeAutospacing="0" w:after="0" w:afterAutospacing="0" w:line="300" w:lineRule="atLeast"/>
              <w:ind w:firstLine="405"/>
              <w:jc w:val="both"/>
              <w:rPr>
                <w:rFonts w:hint="eastAsia" w:ascii="Times New Roman" w:cs="Times New Roman"/>
                <w:color w:val="auto"/>
                <w:sz w:val="21"/>
                <w:szCs w:val="21"/>
              </w:rPr>
            </w:pPr>
            <w:r>
              <w:rPr>
                <w:rFonts w:hint="eastAsia" w:ascii="Times New Roman" w:cs="Times New Roman"/>
                <w:color w:val="auto"/>
                <w:sz w:val="21"/>
                <w:szCs w:val="21"/>
              </w:rPr>
              <w:t>施工生活污水经简易预处理池处理后，周边居民用作农肥，不外排。</w:t>
            </w:r>
            <w:r>
              <w:rPr>
                <w:rFonts w:hint="eastAsia" w:ascii="Times New Roman" w:cs="Times New Roman"/>
                <w:color w:val="auto"/>
                <w:sz w:val="21"/>
                <w:szCs w:val="21"/>
                <w:lang w:val="en-US" w:eastAsia="zh-CN"/>
              </w:rPr>
              <w:t>施工废水</w:t>
            </w:r>
            <w:r>
              <w:rPr>
                <w:rFonts w:hint="eastAsia" w:ascii="Times New Roman" w:cs="Times New Roman"/>
                <w:color w:val="auto"/>
                <w:sz w:val="21"/>
                <w:szCs w:val="21"/>
              </w:rPr>
              <w:t>进入沉淀池处理后回用于道路、堆场等洒水降尘。</w:t>
            </w:r>
          </w:p>
          <w:p w14:paraId="05B88983">
            <w:pPr>
              <w:pStyle w:val="11"/>
              <w:shd w:val="clear" w:color="auto" w:fill="FFFFFF"/>
              <w:spacing w:before="0" w:beforeAutospacing="0" w:after="0" w:afterAutospacing="0" w:line="300" w:lineRule="atLeast"/>
              <w:ind w:firstLine="405"/>
              <w:jc w:val="both"/>
              <w:rPr>
                <w:rFonts w:hint="eastAsia" w:ascii="Times New Roman" w:eastAsia="宋体" w:cs="Times New Roman"/>
                <w:color w:val="auto"/>
                <w:sz w:val="21"/>
                <w:szCs w:val="21"/>
                <w:lang w:eastAsia="zh-CN"/>
              </w:rPr>
            </w:pPr>
            <w:r>
              <w:rPr>
                <w:rFonts w:hint="eastAsia" w:ascii="Times New Roman" w:cs="Times New Roman"/>
                <w:color w:val="auto"/>
                <w:sz w:val="21"/>
                <w:szCs w:val="21"/>
              </w:rPr>
              <w:t>（</w:t>
            </w:r>
            <w:r>
              <w:rPr>
                <w:rFonts w:hint="eastAsia" w:ascii="Times New Roman" w:cs="Times New Roman"/>
                <w:color w:val="auto"/>
                <w:sz w:val="21"/>
                <w:szCs w:val="21"/>
                <w:lang w:val="en-US" w:eastAsia="zh-CN"/>
              </w:rPr>
              <w:t>二</w:t>
            </w:r>
            <w:r>
              <w:rPr>
                <w:rFonts w:hint="eastAsia" w:ascii="Times New Roman" w:cs="Times New Roman"/>
                <w:color w:val="auto"/>
                <w:sz w:val="21"/>
                <w:szCs w:val="21"/>
              </w:rPr>
              <w:t>）</w:t>
            </w:r>
            <w:r>
              <w:rPr>
                <w:rFonts w:hint="eastAsia" w:ascii="Times New Roman" w:cs="Times New Roman"/>
                <w:color w:val="auto"/>
                <w:sz w:val="21"/>
                <w:szCs w:val="21"/>
                <w:lang w:val="en-US" w:eastAsia="zh-CN"/>
              </w:rPr>
              <w:t>废气</w:t>
            </w:r>
          </w:p>
          <w:p w14:paraId="50F82AD9">
            <w:pPr>
              <w:pStyle w:val="11"/>
              <w:shd w:val="clear" w:color="auto" w:fill="FFFFFF"/>
              <w:spacing w:before="0" w:beforeAutospacing="0" w:after="0" w:afterAutospacing="0" w:line="300" w:lineRule="atLeast"/>
              <w:ind w:firstLine="405"/>
              <w:jc w:val="both"/>
              <w:rPr>
                <w:rFonts w:hint="eastAsia" w:ascii="Times New Roman" w:cs="Times New Roman"/>
                <w:color w:val="F79646" w:themeColor="accent6"/>
                <w:sz w:val="21"/>
                <w:szCs w:val="21"/>
                <w14:textFill>
                  <w14:solidFill>
                    <w14:schemeClr w14:val="accent6"/>
                  </w14:solidFill>
                </w14:textFill>
              </w:rPr>
            </w:pPr>
            <w:r>
              <w:rPr>
                <w:rFonts w:hint="eastAsia" w:ascii="Times New Roman" w:cs="Times New Roman"/>
                <w:color w:val="auto"/>
                <w:sz w:val="21"/>
                <w:szCs w:val="21"/>
                <w:lang w:val="en-US" w:eastAsia="zh-CN"/>
              </w:rPr>
              <w:t>施工现场采取设置围挡、洒水降尘、场地硬化、密闭运输、进出口设置冲洗平台等措施；临时堆土及时清运，采取防尘布、防雨棚等围挡措施；涂料及装修材料选取符合国家标准要求的材料；</w:t>
            </w:r>
          </w:p>
          <w:p w14:paraId="527F38F3">
            <w:pPr>
              <w:pStyle w:val="11"/>
              <w:shd w:val="clear" w:color="auto" w:fill="FFFFFF"/>
              <w:spacing w:before="0" w:beforeAutospacing="0" w:after="0" w:afterAutospacing="0" w:line="300" w:lineRule="atLeast"/>
              <w:ind w:firstLine="405"/>
              <w:jc w:val="both"/>
              <w:rPr>
                <w:rFonts w:hint="eastAsia" w:ascii="Times New Roman" w:cs="Times New Roman"/>
                <w:color w:val="auto"/>
                <w:sz w:val="21"/>
                <w:szCs w:val="21"/>
              </w:rPr>
            </w:pPr>
            <w:r>
              <w:rPr>
                <w:rFonts w:hint="eastAsia" w:ascii="Times New Roman" w:cs="Times New Roman"/>
                <w:color w:val="auto"/>
                <w:sz w:val="21"/>
                <w:szCs w:val="21"/>
              </w:rPr>
              <w:t>（</w:t>
            </w:r>
            <w:r>
              <w:rPr>
                <w:rFonts w:hint="eastAsia" w:ascii="Times New Roman" w:cs="Times New Roman"/>
                <w:color w:val="auto"/>
                <w:sz w:val="21"/>
                <w:szCs w:val="21"/>
                <w:lang w:val="en-US" w:eastAsia="zh-CN"/>
              </w:rPr>
              <w:t>三</w:t>
            </w:r>
            <w:r>
              <w:rPr>
                <w:rFonts w:hint="eastAsia" w:ascii="Times New Roman" w:cs="Times New Roman"/>
                <w:color w:val="auto"/>
                <w:sz w:val="21"/>
                <w:szCs w:val="21"/>
              </w:rPr>
              <w:t>）噪声</w:t>
            </w:r>
          </w:p>
          <w:p w14:paraId="064C9BA5">
            <w:pPr>
              <w:pStyle w:val="11"/>
              <w:shd w:val="clear" w:color="auto" w:fill="FFFFFF"/>
              <w:spacing w:before="0" w:beforeAutospacing="0" w:after="0" w:afterAutospacing="0" w:line="300" w:lineRule="atLeast"/>
              <w:ind w:firstLine="405"/>
              <w:jc w:val="both"/>
              <w:rPr>
                <w:rFonts w:hint="eastAsia" w:ascii="Times New Roman" w:cs="Times New Roman"/>
                <w:color w:val="auto"/>
                <w:sz w:val="21"/>
                <w:szCs w:val="21"/>
              </w:rPr>
            </w:pPr>
            <w:r>
              <w:rPr>
                <w:rFonts w:hint="eastAsia" w:ascii="Times New Roman" w:cs="Times New Roman"/>
                <w:color w:val="auto"/>
                <w:sz w:val="21"/>
                <w:szCs w:val="21"/>
                <w:lang w:val="en-US" w:eastAsia="zh-CN"/>
              </w:rPr>
              <w:t>施工期合理安排施工计划及施工时间，避免高噪声设备同时运行；合理布设施工现场，尽量选用低噪声低振动施工机械设备，施工过程设置围挡并采取必要减震防噪措施；合理安排施工车辆运输路线与时间。</w:t>
            </w:r>
          </w:p>
          <w:p w14:paraId="4B5C235B">
            <w:pPr>
              <w:pStyle w:val="11"/>
              <w:numPr>
                <w:ilvl w:val="0"/>
                <w:numId w:val="0"/>
              </w:numPr>
              <w:shd w:val="clear" w:color="auto" w:fill="FFFFFF"/>
              <w:spacing w:before="0" w:beforeAutospacing="0" w:after="0" w:afterAutospacing="0" w:line="300" w:lineRule="atLeast"/>
              <w:ind w:firstLine="405" w:firstLineChars="0"/>
              <w:jc w:val="both"/>
              <w:rPr>
                <w:rFonts w:hint="eastAsia" w:ascii="Times New Roman"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bidi="ar-SA"/>
              </w:rPr>
              <w:t>（</w:t>
            </w:r>
            <w:r>
              <w:rPr>
                <w:rFonts w:hint="eastAsia" w:ascii="Times New Roman" w:cs="Times New Roman"/>
                <w:color w:val="auto"/>
                <w:kern w:val="0"/>
                <w:sz w:val="21"/>
                <w:szCs w:val="21"/>
                <w:lang w:val="en-US" w:eastAsia="zh-CN" w:bidi="ar-SA"/>
              </w:rPr>
              <w:t>四</w:t>
            </w:r>
            <w:r>
              <w:rPr>
                <w:rFonts w:hint="eastAsia" w:ascii="Times New Roman" w:hAnsi="Times New Roman" w:eastAsia="宋体" w:cs="Times New Roman"/>
                <w:color w:val="auto"/>
                <w:kern w:val="0"/>
                <w:sz w:val="21"/>
                <w:szCs w:val="21"/>
                <w:lang w:val="en-US" w:eastAsia="zh-CN" w:bidi="ar-SA"/>
              </w:rPr>
              <w:t>）</w:t>
            </w:r>
            <w:r>
              <w:rPr>
                <w:rFonts w:hint="eastAsia" w:ascii="Times New Roman" w:cs="Times New Roman"/>
                <w:color w:val="auto"/>
                <w:sz w:val="21"/>
                <w:szCs w:val="21"/>
              </w:rPr>
              <w:t>固</w:t>
            </w:r>
            <w:r>
              <w:rPr>
                <w:rFonts w:hint="eastAsia" w:ascii="Times New Roman" w:cs="Times New Roman"/>
                <w:color w:val="auto"/>
                <w:sz w:val="21"/>
                <w:szCs w:val="21"/>
                <w:lang w:val="en-US" w:eastAsia="zh-CN"/>
              </w:rPr>
              <w:t>废</w:t>
            </w:r>
          </w:p>
          <w:p w14:paraId="74508852">
            <w:pPr>
              <w:pStyle w:val="11"/>
              <w:shd w:val="clear" w:color="auto" w:fill="FFFFFF"/>
              <w:spacing w:before="0" w:beforeAutospacing="0" w:after="0" w:afterAutospacing="0" w:line="300" w:lineRule="atLeast"/>
              <w:ind w:firstLine="405"/>
              <w:jc w:val="both"/>
              <w:rPr>
                <w:rFonts w:hint="eastAsia" w:ascii="Times New Roman" w:cs="Times New Roman"/>
                <w:color w:val="auto"/>
                <w:sz w:val="21"/>
                <w:szCs w:val="21"/>
                <w:lang w:val="en-US" w:eastAsia="zh-CN"/>
              </w:rPr>
            </w:pPr>
            <w:r>
              <w:rPr>
                <w:rFonts w:hint="eastAsia" w:ascii="Times New Roman" w:cs="Times New Roman"/>
                <w:color w:val="auto"/>
                <w:sz w:val="21"/>
                <w:szCs w:val="21"/>
                <w:lang w:val="en-US" w:eastAsia="zh-CN"/>
              </w:rPr>
              <w:t>施工期产生的弃方全部清运至当地政府指定弃土场，建筑垃圾清运至指定位置处置，生活垃圾经袋装集中收集后由环卫部门统一清运处置。</w:t>
            </w:r>
          </w:p>
          <w:p w14:paraId="73F6459E">
            <w:pPr>
              <w:pStyle w:val="11"/>
              <w:shd w:val="clear" w:color="auto" w:fill="FFFFFF"/>
              <w:spacing w:before="0" w:beforeAutospacing="0" w:after="0" w:afterAutospacing="0" w:line="300" w:lineRule="atLeast"/>
              <w:ind w:firstLine="405"/>
              <w:jc w:val="both"/>
              <w:rPr>
                <w:rFonts w:hint="eastAsia" w:ascii="Times New Roman" w:cs="Times New Roman"/>
                <w:color w:val="auto"/>
                <w:sz w:val="21"/>
                <w:szCs w:val="21"/>
              </w:rPr>
            </w:pPr>
            <w:r>
              <w:rPr>
                <w:rFonts w:hint="eastAsia" w:ascii="Times New Roman" w:cs="Times New Roman"/>
                <w:color w:val="auto"/>
                <w:sz w:val="21"/>
                <w:szCs w:val="21"/>
              </w:rPr>
              <w:t>（</w:t>
            </w:r>
            <w:r>
              <w:rPr>
                <w:rFonts w:hint="eastAsia" w:ascii="Times New Roman" w:cs="Times New Roman"/>
                <w:color w:val="auto"/>
                <w:sz w:val="21"/>
                <w:szCs w:val="21"/>
                <w:lang w:val="en-US" w:eastAsia="zh-CN"/>
              </w:rPr>
              <w:t>五</w:t>
            </w:r>
            <w:r>
              <w:rPr>
                <w:rFonts w:hint="eastAsia" w:ascii="Times New Roman" w:cs="Times New Roman"/>
                <w:color w:val="auto"/>
                <w:sz w:val="21"/>
                <w:szCs w:val="21"/>
              </w:rPr>
              <w:t>）生态环境保护措施</w:t>
            </w:r>
          </w:p>
          <w:p w14:paraId="1DD09B9F">
            <w:pPr>
              <w:keepNext w:val="0"/>
              <w:keepLines w:val="0"/>
              <w:widowControl/>
              <w:suppressLineNumbers w:val="0"/>
              <w:ind w:firstLine="420" w:firstLineChars="200"/>
              <w:jc w:val="left"/>
              <w:rPr>
                <w:rFonts w:hint="eastAsia" w:ascii="Times New Roman" w:cs="Times New Roman"/>
                <w:b/>
                <w:bCs/>
                <w:color w:val="000000"/>
                <w:sz w:val="21"/>
                <w:szCs w:val="21"/>
                <w:lang w:eastAsia="zh-CN"/>
              </w:rPr>
            </w:pPr>
            <w:r>
              <w:rPr>
                <w:rFonts w:hint="eastAsia" w:ascii="Times New Roman" w:hAnsi="Times New Roman" w:eastAsia="宋体" w:cs="Times New Roman"/>
                <w:color w:val="auto"/>
                <w:kern w:val="0"/>
                <w:sz w:val="21"/>
                <w:szCs w:val="21"/>
                <w:lang w:val="en-US" w:eastAsia="zh-CN" w:bidi="ar-SA"/>
              </w:rPr>
              <w:t>施工期避开雨水开挖施工，减少水土流失；开挖土方及时清运，临时堆放时做好围栏围护及表面覆盖；临时堆放场地周围设置导流明沟，将雨水引导到沉淀池后再排入城市雨水管网，避免雨水冲刷；强化生态环境保护意识，严格控制施工作业面，不随意扩大范围，减少对附近植被和道路的破坏。施工结束后，及时清理施工现场并进行绿化。</w:t>
            </w:r>
            <w:bookmarkStart w:id="0" w:name="_GoBack"/>
            <w:bookmarkEnd w:id="0"/>
          </w:p>
          <w:p w14:paraId="74E74C32">
            <w:pPr>
              <w:pStyle w:val="11"/>
              <w:numPr>
                <w:ilvl w:val="0"/>
                <w:numId w:val="0"/>
              </w:numPr>
              <w:shd w:val="clear" w:color="auto" w:fill="FFFFFF"/>
              <w:spacing w:before="0" w:beforeAutospacing="0" w:after="0" w:afterAutospacing="0" w:line="300" w:lineRule="atLeast"/>
              <w:jc w:val="both"/>
              <w:rPr>
                <w:rFonts w:ascii="Times New Roman" w:cs="Times New Roman"/>
                <w:b/>
                <w:bCs/>
                <w:color w:val="000000"/>
                <w:sz w:val="21"/>
                <w:szCs w:val="21"/>
              </w:rPr>
            </w:pPr>
            <w:r>
              <w:rPr>
                <w:rFonts w:hint="eastAsia" w:ascii="Times New Roman" w:cs="Times New Roman"/>
                <w:b/>
                <w:bCs/>
                <w:color w:val="000000"/>
                <w:sz w:val="21"/>
                <w:szCs w:val="21"/>
                <w:lang w:eastAsia="zh-CN"/>
              </w:rPr>
              <w:t>二、</w:t>
            </w:r>
            <w:r>
              <w:rPr>
                <w:rFonts w:hint="eastAsia" w:ascii="Times New Roman" w:cs="Times New Roman"/>
                <w:b/>
                <w:bCs/>
                <w:color w:val="000000"/>
                <w:sz w:val="21"/>
                <w:szCs w:val="21"/>
              </w:rPr>
              <w:t>营运期主要环境保护措施</w:t>
            </w:r>
          </w:p>
          <w:p w14:paraId="610FDDC8">
            <w:pPr>
              <w:pStyle w:val="11"/>
              <w:shd w:val="clear" w:color="auto" w:fill="FFFFFF"/>
              <w:spacing w:before="0" w:beforeAutospacing="0" w:after="0" w:afterAutospacing="0" w:line="300" w:lineRule="atLeast"/>
              <w:ind w:firstLine="405"/>
              <w:jc w:val="both"/>
              <w:rPr>
                <w:rFonts w:hint="eastAsia" w:ascii="Times New Roman" w:cs="Times New Roman"/>
                <w:color w:val="auto"/>
                <w:sz w:val="21"/>
                <w:szCs w:val="21"/>
                <w:lang w:val="en-US" w:eastAsia="zh-CN"/>
              </w:rPr>
            </w:pPr>
            <w:r>
              <w:rPr>
                <w:rFonts w:hint="eastAsia" w:ascii="Times New Roman" w:cs="Times New Roman"/>
                <w:color w:val="auto"/>
                <w:sz w:val="21"/>
                <w:szCs w:val="21"/>
              </w:rPr>
              <w:t>（</w:t>
            </w:r>
            <w:r>
              <w:rPr>
                <w:rFonts w:hint="eastAsia" w:ascii="Times New Roman" w:cs="Times New Roman"/>
                <w:color w:val="auto"/>
                <w:sz w:val="21"/>
                <w:szCs w:val="21"/>
                <w:lang w:val="en-US" w:eastAsia="zh-CN"/>
              </w:rPr>
              <w:t>一</w:t>
            </w:r>
            <w:r>
              <w:rPr>
                <w:rFonts w:hint="eastAsia" w:ascii="Times New Roman" w:cs="Times New Roman"/>
                <w:color w:val="auto"/>
                <w:sz w:val="21"/>
                <w:szCs w:val="21"/>
              </w:rPr>
              <w:t>）</w:t>
            </w:r>
            <w:r>
              <w:rPr>
                <w:rFonts w:hint="eastAsia" w:ascii="Times New Roman" w:cs="Times New Roman"/>
                <w:color w:val="auto"/>
                <w:sz w:val="21"/>
                <w:szCs w:val="21"/>
                <w:lang w:val="en-US" w:eastAsia="zh-CN"/>
              </w:rPr>
              <w:t>废水</w:t>
            </w:r>
          </w:p>
          <w:p w14:paraId="7AFD92A9">
            <w:pPr>
              <w:pStyle w:val="11"/>
              <w:shd w:val="clear" w:color="auto" w:fill="FFFFFF"/>
              <w:spacing w:before="0" w:beforeAutospacing="0" w:after="0" w:afterAutospacing="0" w:line="300" w:lineRule="atLeast"/>
              <w:ind w:firstLine="405"/>
              <w:jc w:val="both"/>
              <w:rPr>
                <w:rFonts w:hint="default" w:ascii="Times New Roman" w:cs="Times New Roman"/>
                <w:color w:val="auto"/>
                <w:sz w:val="21"/>
                <w:szCs w:val="21"/>
                <w:lang w:eastAsia="zh-CN"/>
              </w:rPr>
            </w:pPr>
            <w:r>
              <w:rPr>
                <w:rFonts w:hint="eastAsia" w:ascii="Times New Roman" w:cs="Times New Roman"/>
                <w:color w:val="auto"/>
                <w:sz w:val="21"/>
                <w:szCs w:val="21"/>
                <w:lang w:val="en-US" w:eastAsia="zh-CN"/>
              </w:rPr>
              <w:t>该项目自建处理能力为200m3/d的污水处理站，污水处理站采用二级生物处理工艺（三级化粪池-自动机械格栅-调节池-提升泵-水解酸化池-二级接触氧化池－沉淀池－消毒池－排放池），生活污水、医疗废水、检验废水均进入污水处理站处理达《医疗机构水污染排放标准》（GB18466-2005）中的表2预处理标准。污水处理站处理后污水，在亭子污水处理厂投入运营前由密闭污水罐车运至周边生活污水处理厂处理，亭子污水处理厂建成运营后通过市政污水管网排入亭子污水处理厂处理。</w:t>
            </w:r>
          </w:p>
          <w:p w14:paraId="26DE1EB8">
            <w:pPr>
              <w:pStyle w:val="11"/>
              <w:numPr>
                <w:ilvl w:val="0"/>
                <w:numId w:val="0"/>
              </w:numPr>
              <w:shd w:val="clear" w:color="auto" w:fill="FFFFFF"/>
              <w:spacing w:before="0" w:beforeAutospacing="0" w:after="0" w:afterAutospacing="0" w:line="300" w:lineRule="atLeast"/>
              <w:ind w:firstLine="405" w:firstLineChars="0"/>
              <w:jc w:val="both"/>
              <w:rPr>
                <w:rFonts w:hint="default" w:ascii="Times New Roman" w:cs="Times New Roman"/>
                <w:color w:val="auto"/>
                <w:sz w:val="21"/>
                <w:szCs w:val="21"/>
                <w:lang w:eastAsia="zh-CN"/>
              </w:rPr>
            </w:pPr>
            <w:r>
              <w:rPr>
                <w:rFonts w:hint="eastAsia" w:ascii="Times New Roman" w:hAnsi="Times New Roman" w:eastAsia="宋体" w:cs="Times New Roman"/>
                <w:color w:val="auto"/>
                <w:kern w:val="0"/>
                <w:sz w:val="21"/>
                <w:szCs w:val="21"/>
                <w:lang w:val="en-US" w:eastAsia="zh-CN" w:bidi="ar-SA"/>
              </w:rPr>
              <w:t>（二）</w:t>
            </w:r>
            <w:r>
              <w:rPr>
                <w:rFonts w:hint="default" w:ascii="Times New Roman" w:cs="Times New Roman"/>
                <w:color w:val="auto"/>
                <w:sz w:val="21"/>
                <w:szCs w:val="21"/>
                <w:lang w:eastAsia="zh-CN"/>
              </w:rPr>
              <w:t>废气</w:t>
            </w:r>
          </w:p>
          <w:p w14:paraId="74045221">
            <w:pPr>
              <w:pStyle w:val="11"/>
              <w:shd w:val="clear" w:color="auto" w:fill="FFFFFF"/>
              <w:spacing w:before="0" w:beforeAutospacing="0" w:after="0" w:afterAutospacing="0" w:line="300" w:lineRule="atLeast"/>
              <w:ind w:firstLine="405"/>
              <w:jc w:val="both"/>
              <w:rPr>
                <w:rFonts w:hint="eastAsia"/>
                <w:sz w:val="21"/>
                <w:szCs w:val="21"/>
                <w:highlight w:val="none"/>
                <w:lang w:val="en-US" w:eastAsia="zh-CN"/>
              </w:rPr>
            </w:pPr>
            <w:r>
              <w:rPr>
                <w:rFonts w:hint="eastAsia"/>
                <w:sz w:val="21"/>
                <w:szCs w:val="21"/>
                <w:highlight w:val="none"/>
                <w:lang w:val="en-US" w:eastAsia="zh-CN"/>
              </w:rPr>
              <w:t>污水处理站处理间及处理设备四周适时喷洒生物除臭剂；危险废物暂存间配备空调、紫外消毒灯和植物消毒液喷洒设施，经常通风换气；采用喷洒消毒液、紫外线消毒措施减少医院空气异味，并加强自然通风和机械通风；检验废气经通风橱收集、过滤后通过排风系统排放；密闭中药熬药罐逸散废气经通风换气扇，由排风井排放；发电机安装烟气净化装置，废气经处理后经排风井排放；食堂油烟经油烟净化器净化后引至楼顶排放；热水燃气锅炉天然气燃烧废气经低氮燃烧后通过</w:t>
            </w:r>
            <w:r>
              <w:rPr>
                <w:rFonts w:hint="default" w:ascii="Times New Roman" w:hAnsi="Times New Roman" w:cs="Times New Roman"/>
                <w:sz w:val="21"/>
                <w:szCs w:val="21"/>
                <w:highlight w:val="none"/>
                <w:lang w:val="en-US" w:eastAsia="zh-CN"/>
              </w:rPr>
              <w:t>20m</w:t>
            </w:r>
            <w:r>
              <w:rPr>
                <w:rFonts w:hint="eastAsia"/>
                <w:sz w:val="21"/>
                <w:szCs w:val="21"/>
                <w:highlight w:val="none"/>
                <w:lang w:val="en-US" w:eastAsia="zh-CN"/>
              </w:rPr>
              <w:t>高排气筒排放。</w:t>
            </w:r>
          </w:p>
          <w:p w14:paraId="5ECC3625">
            <w:pPr>
              <w:keepNext w:val="0"/>
              <w:keepLines w:val="0"/>
              <w:widowControl/>
              <w:numPr>
                <w:ilvl w:val="0"/>
                <w:numId w:val="0"/>
              </w:numPr>
              <w:suppressLineNumbers w:val="0"/>
              <w:ind w:firstLine="420" w:firstLineChars="200"/>
              <w:jc w:val="left"/>
              <w:rPr>
                <w:rFonts w:hint="eastAsia" w:ascii="Times New Roman" w:cs="Times New Roman"/>
                <w:color w:val="auto"/>
                <w:sz w:val="21"/>
                <w:szCs w:val="21"/>
                <w:lang w:val="en-US" w:eastAsia="zh-CN"/>
              </w:rPr>
            </w:pPr>
            <w:r>
              <w:rPr>
                <w:rFonts w:hint="eastAsia" w:ascii="Times New Roman" w:hAnsi="Times New Roman" w:eastAsia="宋体" w:cs="Times New Roman"/>
                <w:color w:val="auto"/>
                <w:kern w:val="2"/>
                <w:sz w:val="21"/>
                <w:szCs w:val="21"/>
                <w:lang w:val="en-US" w:eastAsia="zh-CN" w:bidi="ar-SA"/>
              </w:rPr>
              <w:t>（三）</w:t>
            </w:r>
            <w:r>
              <w:rPr>
                <w:rFonts w:hint="eastAsia" w:ascii="Times New Roman" w:cs="Times New Roman"/>
                <w:color w:val="auto"/>
                <w:sz w:val="21"/>
                <w:szCs w:val="21"/>
                <w:lang w:val="en-US" w:eastAsia="zh-CN"/>
              </w:rPr>
              <w:t>噪声</w:t>
            </w:r>
          </w:p>
          <w:p w14:paraId="334809E5">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sz w:val="21"/>
                <w:szCs w:val="21"/>
              </w:rPr>
            </w:pPr>
            <w:r>
              <w:rPr>
                <w:rFonts w:hint="eastAsia"/>
                <w:sz w:val="21"/>
                <w:szCs w:val="21"/>
                <w:lang w:val="en-US" w:eastAsia="zh-CN"/>
              </w:rPr>
              <w:t>选用低噪的发电机、污水泵等设备，并加强对设备进行维护和保养；加强中央空调机组噪声管理，采用安装减振垫、减振器、吸声材料、安装消声器等多种措施降低噪声产生；医院区域内禁止喧哗吵闹，加强对医院内车辆的管理，规定车辆进、出及停车交通线路，规范停车秩序、车辆禁止鸣笛。</w:t>
            </w:r>
          </w:p>
          <w:p w14:paraId="51EE5A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sz w:val="21"/>
                <w:szCs w:val="21"/>
                <w:lang w:val="en-US" w:eastAsia="zh-CN"/>
              </w:rPr>
            </w:pPr>
            <w:r>
              <w:rPr>
                <w:rFonts w:hint="eastAsia" w:ascii="Times New Roman" w:hAnsi="Times New Roman" w:eastAsia="宋体" w:cs="Times New Roman"/>
                <w:kern w:val="2"/>
                <w:sz w:val="21"/>
                <w:szCs w:val="21"/>
                <w:lang w:val="en-US" w:eastAsia="zh-CN" w:bidi="ar-SA"/>
              </w:rPr>
              <w:t>（四）</w:t>
            </w:r>
            <w:r>
              <w:rPr>
                <w:rFonts w:hint="eastAsia"/>
                <w:sz w:val="21"/>
                <w:szCs w:val="21"/>
                <w:lang w:val="en-US" w:eastAsia="zh-CN"/>
              </w:rPr>
              <w:t>固废</w:t>
            </w:r>
          </w:p>
          <w:p w14:paraId="45F1C3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eastAsia="宋体"/>
                <w:sz w:val="21"/>
                <w:szCs w:val="21"/>
                <w:lang w:val="en-US" w:eastAsia="zh-CN"/>
              </w:rPr>
            </w:pPr>
            <w:r>
              <w:rPr>
                <w:rFonts w:hint="eastAsia"/>
                <w:sz w:val="21"/>
                <w:szCs w:val="21"/>
                <w:highlight w:val="none"/>
                <w:lang w:val="en-US" w:eastAsia="zh-CN"/>
              </w:rPr>
              <w:t>医疗废物采用专用容器收集后暂存于危险废物暂存间内，定期委托有危险废物处理资质的单位统一处置；污水处理站污泥、栅渣定期清掏，消毒后交由有相关危废处理资质单位进行处置；废紫外灯交由有相关危废处理资质单位处理；使用后的一次性输液瓶（袋）集中收集后委托专门的处置单位处理；餐厨垃圾交由餐厨垃圾收运单位收运、处理，不得与生活垃圾混装；中药渣与生活垃圾由环卫部门统一清运、日产日清；</w:t>
            </w:r>
            <w:r>
              <w:rPr>
                <w:rFonts w:hint="eastAsia"/>
                <w:sz w:val="21"/>
                <w:szCs w:val="21"/>
                <w:lang w:val="en-US" w:eastAsia="zh-CN"/>
              </w:rPr>
              <w:t>纯水设备更换的废离子交换树脂、污水处理站吸收了臭气的废活性炭交由环卫部门清运；中央空调系统中更换的废空气过滤材料喷洒消毒液消毒后交由环卫部门清运。</w:t>
            </w:r>
          </w:p>
          <w:p w14:paraId="7ED02932">
            <w:pPr>
              <w:pStyle w:val="11"/>
              <w:numPr>
                <w:ilvl w:val="0"/>
                <w:numId w:val="0"/>
              </w:numPr>
              <w:shd w:val="clear" w:color="auto" w:fill="FFFFFF"/>
              <w:spacing w:before="0" w:beforeAutospacing="0" w:after="0" w:afterAutospacing="0" w:line="300" w:lineRule="atLeast"/>
              <w:jc w:val="both"/>
              <w:rPr>
                <w:rFonts w:ascii="Times New Roman" w:cs="Times New Roman"/>
                <w:b/>
                <w:bCs/>
                <w:color w:val="000000"/>
                <w:sz w:val="21"/>
                <w:szCs w:val="21"/>
              </w:rPr>
            </w:pPr>
            <w:r>
              <w:rPr>
                <w:rFonts w:hint="eastAsia" w:ascii="Times New Roman" w:cs="Times New Roman"/>
                <w:b/>
                <w:bCs/>
                <w:color w:val="000000"/>
                <w:sz w:val="21"/>
                <w:szCs w:val="21"/>
                <w:lang w:eastAsia="zh-CN"/>
              </w:rPr>
              <w:t>三、</w:t>
            </w:r>
            <w:r>
              <w:rPr>
                <w:rFonts w:hint="eastAsia" w:ascii="Times New Roman" w:cs="Times New Roman"/>
                <w:b/>
                <w:bCs/>
                <w:color w:val="000000"/>
                <w:sz w:val="21"/>
                <w:szCs w:val="21"/>
              </w:rPr>
              <w:t>主要环境风险防范措施</w:t>
            </w:r>
          </w:p>
          <w:p w14:paraId="2C7FE4E3">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tLeast"/>
              <w:ind w:firstLine="420" w:firstLineChars="200"/>
              <w:jc w:val="both"/>
              <w:textAlignment w:val="auto"/>
              <w:rPr>
                <w:rFonts w:hint="eastAsia" w:ascii="Times New Roman" w:cs="Times New Roman"/>
                <w:b w:val="0"/>
                <w:bCs w:val="0"/>
                <w:color w:val="000000"/>
                <w:sz w:val="21"/>
                <w:szCs w:val="21"/>
                <w:lang w:eastAsia="zh-CN"/>
              </w:rPr>
            </w:pPr>
            <w:r>
              <w:rPr>
                <w:rFonts w:hint="eastAsia" w:ascii="Times New Roman" w:cs="Times New Roman"/>
                <w:b w:val="0"/>
                <w:bCs w:val="0"/>
                <w:color w:val="000000"/>
                <w:sz w:val="21"/>
                <w:szCs w:val="21"/>
                <w:lang w:val="en-US" w:eastAsia="zh-CN"/>
              </w:rPr>
              <w:t>加强医疗废物源头管理、分类管理，使用符合国家有关规定要求的废物袋和封闭容器进行收集并设置明显的警示标识和警示说明；禁止将医疗固体废物在非收集、非暂时贮存地点倾倒、堆放，禁止将医疗废物混入其它废物和生活垃圾，禁止在内部运送过程中丢弃医疗废物；规范设置危废暂存间和相关警示标识；医疗废物中病原体的培养基、标本、保存液等高危险废物，在医疗废物集中处置单位处置前就地消毒。规范设置危险化学品专用贮存室，危险化学品由专人管理、定期检查，同时做好出入库核查登记；液氧间设置警示标牌，附近不得存放易燃物品，并定期对加压设备和安全阀进行检验；污水处理系统必须定期检查，及时维修或更换老化的设备及部件，消除隐患，防止事故发生，确保污水达标排放；制定完善应急预案并</w:t>
            </w:r>
            <w:r>
              <w:rPr>
                <w:rFonts w:hint="eastAsia" w:ascii="Times New Roman" w:cs="Times New Roman"/>
                <w:b w:val="0"/>
                <w:bCs w:val="0"/>
                <w:color w:val="000000"/>
                <w:sz w:val="21"/>
                <w:szCs w:val="21"/>
                <w:lang w:eastAsia="zh-CN"/>
              </w:rPr>
              <w:t>定期进行</w:t>
            </w:r>
            <w:r>
              <w:rPr>
                <w:rFonts w:hint="eastAsia" w:ascii="Times New Roman" w:cs="Times New Roman"/>
                <w:b w:val="0"/>
                <w:bCs w:val="0"/>
                <w:color w:val="000000"/>
                <w:sz w:val="21"/>
                <w:szCs w:val="21"/>
                <w:lang w:val="en-US" w:eastAsia="zh-CN"/>
              </w:rPr>
              <w:t>应急演练，强化人员安全意识和技能培训，认真落实工程安全措施、消防措施及评价所提出各项的风险防范、管理措施。</w:t>
            </w:r>
          </w:p>
          <w:p w14:paraId="06F49BB9">
            <w:pPr>
              <w:pStyle w:val="11"/>
              <w:shd w:val="clear" w:color="auto" w:fill="FFFFFF"/>
              <w:spacing w:before="0" w:beforeAutospacing="0" w:after="0" w:afterAutospacing="0" w:line="300" w:lineRule="atLeast"/>
              <w:jc w:val="both"/>
              <w:rPr>
                <w:rFonts w:ascii="Times New Roman" w:cs="Times New Roman"/>
                <w:b/>
                <w:bCs/>
                <w:color w:val="000000"/>
                <w:sz w:val="21"/>
                <w:szCs w:val="21"/>
              </w:rPr>
            </w:pPr>
            <w:r>
              <w:rPr>
                <w:rFonts w:hint="eastAsia" w:ascii="Times New Roman" w:cs="Times New Roman"/>
                <w:b/>
                <w:bCs/>
                <w:color w:val="000000"/>
                <w:sz w:val="21"/>
                <w:szCs w:val="21"/>
                <w:lang w:eastAsia="zh-CN"/>
              </w:rPr>
              <w:t>四、</w:t>
            </w:r>
            <w:r>
              <w:rPr>
                <w:rFonts w:hint="eastAsia" w:ascii="Times New Roman" w:cs="Times New Roman"/>
                <w:b/>
                <w:bCs/>
                <w:color w:val="000000"/>
                <w:sz w:val="21"/>
                <w:szCs w:val="21"/>
              </w:rPr>
              <w:t>其他部门意见</w:t>
            </w:r>
          </w:p>
          <w:p w14:paraId="5012C25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atLeast"/>
              <w:ind w:firstLine="420" w:firstLineChars="200"/>
              <w:jc w:val="both"/>
              <w:textAlignment w:val="auto"/>
              <w:rPr>
                <w:rFonts w:hint="eastAsia" w:ascii="Times New Roman" w:cs="Times New Roman"/>
                <w:color w:val="000000"/>
                <w:sz w:val="21"/>
                <w:szCs w:val="21"/>
              </w:rPr>
            </w:pPr>
            <w:r>
              <w:rPr>
                <w:rFonts w:hint="eastAsia" w:ascii="Times New Roman" w:cs="Times New Roman"/>
                <w:color w:val="000000"/>
                <w:sz w:val="21"/>
                <w:szCs w:val="21"/>
                <w:lang w:eastAsia="zh-CN"/>
              </w:rPr>
              <w:t>（</w:t>
            </w:r>
            <w:r>
              <w:rPr>
                <w:rFonts w:hint="eastAsia" w:ascii="Times New Roman" w:cs="Times New Roman"/>
                <w:color w:val="000000"/>
                <w:sz w:val="21"/>
                <w:szCs w:val="21"/>
                <w:lang w:val="en-US" w:eastAsia="zh-CN"/>
              </w:rPr>
              <w:t>一</w:t>
            </w:r>
            <w:r>
              <w:rPr>
                <w:rFonts w:hint="eastAsia" w:ascii="Times New Roman" w:cs="Times New Roman"/>
                <w:color w:val="000000"/>
                <w:sz w:val="21"/>
                <w:szCs w:val="21"/>
                <w:lang w:eastAsia="zh-CN"/>
              </w:rPr>
              <w:t>）</w:t>
            </w:r>
            <w:r>
              <w:rPr>
                <w:rFonts w:hint="eastAsia" w:ascii="Times New Roman" w:cs="Times New Roman"/>
                <w:color w:val="000000"/>
                <w:sz w:val="21"/>
                <w:szCs w:val="21"/>
              </w:rPr>
              <w:t>四川达州东部经济开发区产业发展局关于达州经开区亭子医院项目可行性研究报告的批复（达经开产业〔2022〕60号）；</w:t>
            </w:r>
          </w:p>
          <w:p w14:paraId="75A1413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atLeast"/>
              <w:ind w:firstLine="420" w:firstLineChars="200"/>
              <w:jc w:val="both"/>
              <w:textAlignment w:val="auto"/>
              <w:rPr>
                <w:rFonts w:hint="eastAsia" w:ascii="Times New Roman" w:eastAsia="宋体" w:cs="Times New Roman"/>
                <w:color w:val="000000"/>
                <w:sz w:val="21"/>
                <w:szCs w:val="21"/>
                <w:lang w:eastAsia="zh-CN"/>
              </w:rPr>
            </w:pPr>
            <w:r>
              <w:rPr>
                <w:rFonts w:hint="eastAsia" w:ascii="Times New Roman" w:cs="Times New Roman"/>
                <w:color w:val="000000"/>
                <w:sz w:val="21"/>
                <w:szCs w:val="21"/>
                <w:lang w:eastAsia="zh-CN"/>
              </w:rPr>
              <w:t>（</w:t>
            </w:r>
            <w:r>
              <w:rPr>
                <w:rFonts w:hint="eastAsia" w:ascii="Times New Roman" w:cs="Times New Roman"/>
                <w:color w:val="000000"/>
                <w:sz w:val="21"/>
                <w:szCs w:val="21"/>
                <w:lang w:val="en-US" w:eastAsia="zh-CN"/>
              </w:rPr>
              <w:t>二</w:t>
            </w:r>
            <w:r>
              <w:rPr>
                <w:rFonts w:hint="eastAsia" w:ascii="Times New Roman" w:cs="Times New Roman"/>
                <w:color w:val="000000"/>
                <w:sz w:val="21"/>
                <w:szCs w:val="21"/>
                <w:lang w:eastAsia="zh-CN"/>
              </w:rPr>
              <w:t>）</w:t>
            </w:r>
            <w:r>
              <w:rPr>
                <w:rFonts w:hint="eastAsia" w:ascii="Times New Roman" w:cs="Times New Roman"/>
                <w:color w:val="000000"/>
                <w:sz w:val="21"/>
                <w:szCs w:val="21"/>
              </w:rPr>
              <w:t>四川达州东部经济开发区产业发展局关于变更亭子医院建设项目业主单位的通知</w:t>
            </w:r>
            <w:r>
              <w:rPr>
                <w:rFonts w:hint="eastAsia" w:ascii="Times New Roman" w:cs="Times New Roman"/>
                <w:color w:val="000000"/>
                <w:sz w:val="21"/>
                <w:szCs w:val="21"/>
                <w:lang w:eastAsia="zh-CN"/>
              </w:rPr>
              <w:t>。</w:t>
            </w:r>
          </w:p>
        </w:tc>
      </w:tr>
    </w:tbl>
    <w:p w14:paraId="5456840B">
      <w:pPr>
        <w:rPr>
          <w:color w:val="000000"/>
          <w:sz w:val="21"/>
          <w:szCs w:val="21"/>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WIzOWEyMzQzOWM0MzQxNTBjMDc0YmY5MjRjODE1MTEifQ=="/>
  </w:docVars>
  <w:rsids>
    <w:rsidRoot w:val="00D25A2F"/>
    <w:rsid w:val="006E228F"/>
    <w:rsid w:val="00A62B3D"/>
    <w:rsid w:val="00D25A2F"/>
    <w:rsid w:val="01CF32DE"/>
    <w:rsid w:val="0245157A"/>
    <w:rsid w:val="028662B9"/>
    <w:rsid w:val="029F53A6"/>
    <w:rsid w:val="05687CD1"/>
    <w:rsid w:val="070840BE"/>
    <w:rsid w:val="09D5254A"/>
    <w:rsid w:val="0B45535F"/>
    <w:rsid w:val="0E415563"/>
    <w:rsid w:val="0F5500B5"/>
    <w:rsid w:val="14861FBB"/>
    <w:rsid w:val="15B50D11"/>
    <w:rsid w:val="188F5625"/>
    <w:rsid w:val="18982224"/>
    <w:rsid w:val="18DA5C04"/>
    <w:rsid w:val="1A0A53A3"/>
    <w:rsid w:val="1E2329B4"/>
    <w:rsid w:val="1ED26A03"/>
    <w:rsid w:val="1EFD7390"/>
    <w:rsid w:val="230227AB"/>
    <w:rsid w:val="27295D48"/>
    <w:rsid w:val="28267B48"/>
    <w:rsid w:val="2A61691A"/>
    <w:rsid w:val="2AEC6B2B"/>
    <w:rsid w:val="2B873E78"/>
    <w:rsid w:val="2CE7730B"/>
    <w:rsid w:val="2F2244F6"/>
    <w:rsid w:val="2F530909"/>
    <w:rsid w:val="30FC590F"/>
    <w:rsid w:val="31E56082"/>
    <w:rsid w:val="333F17C2"/>
    <w:rsid w:val="3450491E"/>
    <w:rsid w:val="350B153B"/>
    <w:rsid w:val="35CDFAAB"/>
    <w:rsid w:val="38A85873"/>
    <w:rsid w:val="3B5A22AA"/>
    <w:rsid w:val="3F6D3B46"/>
    <w:rsid w:val="40104C12"/>
    <w:rsid w:val="41F96066"/>
    <w:rsid w:val="44091866"/>
    <w:rsid w:val="45D821A0"/>
    <w:rsid w:val="48ED1227"/>
    <w:rsid w:val="49380BA6"/>
    <w:rsid w:val="495913D8"/>
    <w:rsid w:val="4A2F0833"/>
    <w:rsid w:val="4CDF1F4C"/>
    <w:rsid w:val="50D6330E"/>
    <w:rsid w:val="565F5B54"/>
    <w:rsid w:val="57D540ED"/>
    <w:rsid w:val="589A55C4"/>
    <w:rsid w:val="5A655962"/>
    <w:rsid w:val="5BCBDCD7"/>
    <w:rsid w:val="5DC31F1F"/>
    <w:rsid w:val="5E3D31C6"/>
    <w:rsid w:val="603D1CD6"/>
    <w:rsid w:val="627B1F67"/>
    <w:rsid w:val="657EDB8F"/>
    <w:rsid w:val="6972587E"/>
    <w:rsid w:val="6B46358D"/>
    <w:rsid w:val="6B7E7523"/>
    <w:rsid w:val="6E8B5A05"/>
    <w:rsid w:val="6F9F48D3"/>
    <w:rsid w:val="701A14AB"/>
    <w:rsid w:val="710E65A0"/>
    <w:rsid w:val="71BF4417"/>
    <w:rsid w:val="763D6211"/>
    <w:rsid w:val="76FBFA1D"/>
    <w:rsid w:val="77211458"/>
    <w:rsid w:val="797948D0"/>
    <w:rsid w:val="7A58407F"/>
    <w:rsid w:val="7D1C71A1"/>
    <w:rsid w:val="7FFFA18B"/>
    <w:rsid w:val="96F7EC78"/>
    <w:rsid w:val="9AFFC751"/>
    <w:rsid w:val="BFFD7FC4"/>
    <w:rsid w:val="E3FF126E"/>
    <w:rsid w:val="E5BDBF6B"/>
    <w:rsid w:val="F57F241C"/>
    <w:rsid w:val="F7E39E3B"/>
    <w:rsid w:val="FBF376B8"/>
    <w:rsid w:val="FDBC0B67"/>
    <w:rsid w:val="FEFD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等线" w:eastAsia="等线"/>
      <w:b/>
      <w:kern w:val="44"/>
      <w:sz w:val="44"/>
      <w:szCs w:val="20"/>
    </w:rPr>
  </w:style>
  <w:style w:type="paragraph" w:styleId="3">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next w:val="1"/>
    <w:qFormat/>
    <w:uiPriority w:val="0"/>
    <w:pPr>
      <w:spacing w:after="120"/>
      <w:ind w:left="200" w:leftChars="200"/>
    </w:pPr>
  </w:style>
  <w:style w:type="paragraph" w:styleId="7">
    <w:name w:val="Body Text Indent 2"/>
    <w:basedOn w:val="1"/>
    <w:qFormat/>
    <w:uiPriority w:val="0"/>
    <w:pPr>
      <w:spacing w:line="360" w:lineRule="auto"/>
    </w:pPr>
    <w:rPr>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pPr>
    <w:rPr>
      <w:sz w:val="18"/>
    </w:rPr>
  </w:style>
  <w:style w:type="paragraph" w:styleId="10">
    <w:name w:val="table of figures"/>
    <w:basedOn w:val="1"/>
    <w:next w:val="1"/>
    <w:qFormat/>
    <w:uiPriority w:val="0"/>
    <w:pPr>
      <w:widowControl/>
      <w:spacing w:after="120" w:line="360" w:lineRule="auto"/>
      <w:ind w:left="400" w:leftChars="200" w:hanging="200" w:hangingChars="200"/>
    </w:pPr>
    <w:rPr>
      <w:kern w:val="0"/>
      <w:sz w:val="24"/>
      <w:szCs w:val="20"/>
    </w:rPr>
  </w:style>
  <w:style w:type="paragraph" w:styleId="11">
    <w:name w:val="Normal (Web)"/>
    <w:basedOn w:val="1"/>
    <w:qFormat/>
    <w:uiPriority w:val="0"/>
    <w:pPr>
      <w:widowControl/>
      <w:spacing w:before="100" w:beforeAutospacing="1" w:after="100" w:afterAutospacing="1"/>
      <w:jc w:val="left"/>
    </w:pPr>
    <w:rPr>
      <w:rFonts w:ascii="宋体" w:cs="宋体"/>
      <w:kern w:val="0"/>
      <w:sz w:val="24"/>
    </w:rPr>
  </w:style>
  <w:style w:type="paragraph" w:styleId="12">
    <w:name w:val="annotation subject"/>
    <w:basedOn w:val="5"/>
    <w:next w:val="5"/>
    <w:qFormat/>
    <w:uiPriority w:val="0"/>
    <w:rPr>
      <w:b/>
    </w:rPr>
  </w:style>
  <w:style w:type="paragraph" w:styleId="13">
    <w:name w:val="Body Text First Indent 2"/>
    <w:basedOn w:val="6"/>
    <w:qFormat/>
    <w:uiPriority w:val="0"/>
    <w:pPr>
      <w:ind w:firstLine="200" w:firstLineChars="200"/>
    </w:pPr>
  </w:style>
  <w:style w:type="table" w:styleId="15">
    <w:name w:val="Table Grid"/>
    <w:basedOn w:val="14"/>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2"/>
    <w:basedOn w:val="6"/>
    <w:next w:val="1"/>
    <w:qFormat/>
    <w:uiPriority w:val="0"/>
  </w:style>
  <w:style w:type="paragraph" w:customStyle="1" w:styleId="18">
    <w:name w:val="Default"/>
    <w:basedOn w:val="1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纯文本1"/>
    <w:basedOn w:val="1"/>
    <w:qFormat/>
    <w:uiPriority w:val="0"/>
    <w:rPr>
      <w:rFonts w:hint="eastAsia" w:ascii="宋体" w:hAnsi="Courier New"/>
      <w:szCs w:val="22"/>
    </w:rPr>
  </w:style>
  <w:style w:type="character" w:customStyle="1" w:styleId="20">
    <w:name w:val="ca-41"/>
    <w:qFormat/>
    <w:uiPriority w:val="0"/>
    <w:rPr>
      <w:rFonts w:ascii="宋体" w:eastAsia="宋体"/>
      <w:sz w:val="24"/>
      <w:szCs w:val="24"/>
    </w:rPr>
  </w:style>
  <w:style w:type="paragraph" w:customStyle="1" w:styleId="21">
    <w:name w:val="正文样式"/>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ICOS</Company>
  <Pages>3</Pages>
  <Words>2140</Words>
  <Characters>2192</Characters>
  <Lines>14</Lines>
  <Paragraphs>4</Paragraphs>
  <TotalTime>1</TotalTime>
  <ScaleCrop>false</ScaleCrop>
  <LinksUpToDate>false</LinksUpToDate>
  <CharactersWithSpaces>2192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2024-05-06T06:21:00Z</dcterms:created>
  <dc:creator>木林之风@</dc:creator>
  <cp:lastModifiedBy></cp:lastModifiedBy>
  <cp:lastPrinted>2025-04-10T08:40:00Z</cp:lastPrinted>
  <dcterms:modified xsi:type="dcterms:W3CDTF">2025-04-10T09:18:42Z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2DCE357B3ADF48CAA74CFB68E856854D_13</vt:lpwstr>
  </property>
  <property fmtid="{D5CDD505-2E9C-101B-9397-08002B2CF9AE}" pid="4" name="KSOTemplateDocerSaveRecord">
    <vt:lpwstr>eyJoZGlkIjoiNTk3YmQyMzM4NzI5NDc5YjgxZTc1ZDllYWFkMDdjMDgiLCJ1c2VySWQiOiI0Mzg1Mjk5ODEifQ==</vt:lpwstr>
  </property>
</Properties>
</file>