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000000" w:themeColor="text1"/>
          <w14:textFill>
            <w14:solidFill>
              <w14:schemeClr w14:val="tx1"/>
            </w14:solidFill>
          </w14:textFill>
        </w:rPr>
      </w:pPr>
    </w:p>
    <w:tbl>
      <w:tblPr>
        <w:tblStyle w:val="9"/>
        <w:tblpPr w:leftFromText="180" w:rightFromText="180" w:vertAnchor="page" w:horzAnchor="page" w:tblpX="1936" w:tblpY="2455"/>
        <w:tblOverlap w:val="never"/>
        <w:tblW w:w="13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16"/>
        <w:gridCol w:w="717"/>
        <w:gridCol w:w="646"/>
        <w:gridCol w:w="2268"/>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5" w:hRule="atLeast"/>
        </w:trPr>
        <w:tc>
          <w:tcPr>
            <w:tcW w:w="700"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项目名称</w:t>
            </w:r>
          </w:p>
        </w:tc>
        <w:tc>
          <w:tcPr>
            <w:tcW w:w="716"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建设地点</w:t>
            </w:r>
          </w:p>
        </w:tc>
        <w:tc>
          <w:tcPr>
            <w:tcW w:w="717"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建设单位</w:t>
            </w:r>
          </w:p>
        </w:tc>
        <w:tc>
          <w:tcPr>
            <w:tcW w:w="646"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环境影响评价机构</w:t>
            </w:r>
          </w:p>
        </w:tc>
        <w:tc>
          <w:tcPr>
            <w:tcW w:w="2268"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项目概况</w:t>
            </w:r>
          </w:p>
        </w:tc>
        <w:tc>
          <w:tcPr>
            <w:tcW w:w="8080"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主要环境影响及预防或者减轻</w:t>
            </w:r>
          </w:p>
          <w:p>
            <w:pPr>
              <w:jc w:val="center"/>
              <w:rPr>
                <w:color w:val="000000" w:themeColor="text1"/>
                <w14:textFill>
                  <w14:solidFill>
                    <w14:schemeClr w14:val="tx1"/>
                  </w14:solidFill>
                </w14:textFill>
              </w:rPr>
            </w:pPr>
            <w:r>
              <w:rPr>
                <w:color w:val="000000" w:themeColor="text1"/>
                <w14:textFill>
                  <w14:solidFill>
                    <w14:schemeClr w14:val="tx1"/>
                  </w14:solidFill>
                </w14:textFill>
              </w:rPr>
              <w:t>不良环境影响的对策和措施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700" w:type="dxa"/>
            <w:vAlign w:val="center"/>
          </w:tcPr>
          <w:p>
            <w:pPr>
              <w:pStyle w:val="7"/>
              <w:shd w:val="clear" w:color="auto" w:fill="FFFFFF"/>
              <w:spacing w:before="0" w:beforeAutospacing="0" w:after="0" w:afterAutospacing="0" w:line="300" w:lineRule="atLeast"/>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四川省万源市万通实业有限公司陈家湾煤矿扩建工程</w:t>
            </w:r>
          </w:p>
        </w:tc>
        <w:tc>
          <w:tcPr>
            <w:tcW w:w="716" w:type="dxa"/>
            <w:vAlign w:val="center"/>
          </w:tcPr>
          <w:p>
            <w:pPr>
              <w:pStyle w:val="7"/>
              <w:shd w:val="clear" w:color="auto" w:fill="FFFFFF"/>
              <w:spacing w:before="0" w:beforeAutospacing="0" w:after="0" w:afterAutospacing="0" w:line="300" w:lineRule="atLeast"/>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万源市太平镇四合村</w:t>
            </w:r>
          </w:p>
        </w:tc>
        <w:tc>
          <w:tcPr>
            <w:tcW w:w="717" w:type="dxa"/>
            <w:vAlign w:val="center"/>
          </w:tcPr>
          <w:p>
            <w:pPr>
              <w:pStyle w:val="7"/>
              <w:shd w:val="clear" w:color="auto" w:fill="FFFFFF"/>
              <w:spacing w:before="0" w:beforeAutospacing="0" w:after="0" w:afterAutospacing="0" w:line="300" w:lineRule="atLeast"/>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四川省万源市万通实业有限公司</w:t>
            </w:r>
          </w:p>
        </w:tc>
        <w:tc>
          <w:tcPr>
            <w:tcW w:w="646" w:type="dxa"/>
            <w:vAlign w:val="center"/>
          </w:tcPr>
          <w:p>
            <w:pPr>
              <w:pStyle w:val="7"/>
              <w:shd w:val="clear" w:color="auto" w:fill="FFFFFF"/>
              <w:spacing w:before="0" w:beforeAutospacing="0" w:after="0" w:afterAutospacing="0" w:line="300" w:lineRule="atLeast"/>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四川博观智汇节能环保科技有限公司</w:t>
            </w:r>
          </w:p>
        </w:tc>
        <w:tc>
          <w:tcPr>
            <w:tcW w:w="2268" w:type="dxa"/>
            <w:vAlign w:val="center"/>
          </w:tcPr>
          <w:p>
            <w:pPr>
              <w:pStyle w:val="7"/>
              <w:shd w:val="clear" w:color="auto" w:fill="FFFFFF"/>
              <w:spacing w:before="0" w:beforeAutospacing="0" w:after="0" w:afterAutospacing="0" w:line="300" w:lineRule="atLeast"/>
              <w:jc w:val="both"/>
              <w:rPr>
                <w:rFonts w:hint="eastAsia"/>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项目在原有基础上进行扩建，</w:t>
            </w:r>
            <w:r>
              <w:rPr>
                <w:rFonts w:hint="eastAsia"/>
                <w:color w:val="000000" w:themeColor="text1"/>
                <w:sz w:val="21"/>
                <w:szCs w:val="21"/>
                <w14:textFill>
                  <w14:solidFill>
                    <w14:schemeClr w14:val="tx1"/>
                  </w14:solidFill>
                </w14:textFill>
              </w:rPr>
              <w:t>矿区</w:t>
            </w:r>
            <w:r>
              <w:rPr>
                <w:color w:val="000000" w:themeColor="text1"/>
                <w:sz w:val="21"/>
                <w:szCs w:val="21"/>
                <w14:textFill>
                  <w14:solidFill>
                    <w14:schemeClr w14:val="tx1"/>
                  </w14:solidFill>
                </w14:textFill>
              </w:rPr>
              <w:t>面积</w:t>
            </w:r>
            <w:r>
              <w:rPr>
                <w:rFonts w:hint="eastAsia"/>
                <w:color w:val="000000" w:themeColor="text1"/>
                <w:sz w:val="21"/>
                <w:szCs w:val="21"/>
                <w14:textFill>
                  <w14:solidFill>
                    <w14:schemeClr w14:val="tx1"/>
                  </w14:solidFill>
                </w14:textFill>
              </w:rPr>
              <w:t>3.2406平方公里</w:t>
            </w:r>
            <w:r>
              <w:rPr>
                <w:color w:val="000000" w:themeColor="text1"/>
                <w:sz w:val="21"/>
                <w:szCs w:val="21"/>
                <w14:textFill>
                  <w14:solidFill>
                    <w14:schemeClr w14:val="tx1"/>
                  </w14:solidFill>
                </w14:textFill>
              </w:rPr>
              <w:t>，开采标高</w:t>
            </w:r>
            <w:r>
              <w:rPr>
                <w:rFonts w:hint="eastAsia"/>
                <w:color w:val="000000" w:themeColor="text1"/>
                <w:sz w:val="21"/>
                <w:szCs w:val="21"/>
                <w14:textFill>
                  <w14:solidFill>
                    <w14:schemeClr w14:val="tx1"/>
                  </w14:solidFill>
                </w14:textFill>
              </w:rPr>
              <w:t>+1160～+550</w:t>
            </w:r>
            <w:r>
              <w:rPr>
                <w:color w:val="000000" w:themeColor="text1"/>
                <w:sz w:val="21"/>
                <w:szCs w:val="21"/>
                <w14:textFill>
                  <w14:solidFill>
                    <w14:schemeClr w14:val="tx1"/>
                  </w14:solidFill>
                </w14:textFill>
              </w:rPr>
              <w:t>m。开采</w:t>
            </w:r>
            <w:r>
              <w:rPr>
                <w:rFonts w:hint="eastAsia"/>
                <w:color w:val="000000" w:themeColor="text1"/>
                <w:sz w:val="21"/>
                <w:szCs w:val="21"/>
                <w14:textFill>
                  <w14:solidFill>
                    <w14:schemeClr w14:val="tx1"/>
                  </w14:solidFill>
                </w14:textFill>
              </w:rPr>
              <w:t>K5、K4、K2、K1</w:t>
            </w:r>
            <w:r>
              <w:rPr>
                <w:color w:val="000000" w:themeColor="text1"/>
                <w:sz w:val="21"/>
                <w:szCs w:val="21"/>
                <w14:textFill>
                  <w14:solidFill>
                    <w14:schemeClr w14:val="tx1"/>
                  </w14:solidFill>
                </w14:textFill>
              </w:rPr>
              <w:t>煤层，煤产量从原有9万吨/年增加到30万吨/年。</w:t>
            </w:r>
            <w:r>
              <w:rPr>
                <w:rFonts w:hint="eastAsia"/>
                <w:color w:val="000000" w:themeColor="text1"/>
                <w:sz w:val="21"/>
                <w:szCs w:val="21"/>
                <w14:textFill>
                  <w14:solidFill>
                    <w14:schemeClr w14:val="tx1"/>
                  </w14:solidFill>
                </w14:textFill>
              </w:rPr>
              <w:t>项目在现有工程基础上改建</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采用斜井+平硐综合开拓方式，新掘+600m主斜井，利用原主平硐为扩能后的+600m副平硐，利用原副平硐为扩建后的+692.75m北西翼回风平硐，后期在井田南东翼+875m标高处新建+875m南东翼回风平硐</w:t>
            </w:r>
            <w:r>
              <w:rPr>
                <w:rFonts w:hint="eastAsia"/>
                <w:color w:val="000000" w:themeColor="text1"/>
                <w:sz w:val="21"/>
                <w:szCs w:val="21"/>
                <w:lang w:eastAsia="zh-CN"/>
                <w14:textFill>
                  <w14:solidFill>
                    <w14:schemeClr w14:val="tx1"/>
                  </w14:solidFill>
                </w14:textFill>
              </w:rPr>
              <w:t>煤矿场，</w:t>
            </w:r>
            <w:r>
              <w:rPr>
                <w:rFonts w:hint="eastAsia"/>
                <w:color w:val="000000" w:themeColor="text1"/>
                <w:sz w:val="21"/>
                <w:szCs w:val="21"/>
                <w:lang w:val="en-US" w:eastAsia="zh-CN"/>
                <w14:textFill>
                  <w14:solidFill>
                    <w14:schemeClr w14:val="tx1"/>
                  </w14:solidFill>
                </w14:textFill>
              </w:rPr>
              <w:t>改建</w:t>
            </w:r>
            <w:r>
              <w:rPr>
                <w:rFonts w:hint="eastAsia"/>
                <w:color w:val="000000" w:themeColor="text1"/>
                <w:sz w:val="21"/>
                <w:szCs w:val="21"/>
                <w:lang w:eastAsia="zh-CN"/>
                <w14:textFill>
                  <w14:solidFill>
                    <w14:schemeClr w14:val="tx1"/>
                  </w14:solidFill>
                </w14:textFill>
              </w:rPr>
              <w:t>矸石临时堆场、</w:t>
            </w:r>
            <w:r>
              <w:rPr>
                <w:rFonts w:hint="eastAsia"/>
                <w:color w:val="000000" w:themeColor="text1"/>
                <w:sz w:val="21"/>
                <w:szCs w:val="21"/>
                <w:lang w:val="en-US" w:eastAsia="zh-CN"/>
                <w14:textFill>
                  <w14:solidFill>
                    <w14:schemeClr w14:val="tx1"/>
                  </w14:solidFill>
                </w14:textFill>
              </w:rPr>
              <w:t>储煤仓、危险废物暂存间</w:t>
            </w:r>
            <w:r>
              <w:rPr>
                <w:rFonts w:hint="eastAsia"/>
                <w:color w:val="000000" w:themeColor="text1"/>
                <w:sz w:val="21"/>
                <w:szCs w:val="21"/>
                <w:lang w:eastAsia="zh-CN"/>
                <w14:textFill>
                  <w14:solidFill>
                    <w14:schemeClr w14:val="tx1"/>
                  </w14:solidFill>
                </w14:textFill>
              </w:rPr>
              <w:t>等，扩建污水处理设施。</w:t>
            </w:r>
            <w:r>
              <w:rPr>
                <w:color w:val="000000" w:themeColor="text1"/>
                <w:sz w:val="21"/>
                <w:szCs w:val="21"/>
                <w14:textFill>
                  <w14:solidFill>
                    <w14:schemeClr w14:val="tx1"/>
                  </w14:solidFill>
                </w14:textFill>
              </w:rPr>
              <w:t>总投资</w:t>
            </w:r>
            <w:r>
              <w:rPr>
                <w:rFonts w:hint="eastAsia"/>
                <w:color w:val="000000" w:themeColor="text1"/>
                <w:sz w:val="21"/>
                <w:szCs w:val="21"/>
                <w14:textFill>
                  <w14:solidFill>
                    <w14:schemeClr w14:val="tx1"/>
                  </w14:solidFill>
                </w14:textFill>
              </w:rPr>
              <w:t>9848.83</w:t>
            </w:r>
            <w:r>
              <w:rPr>
                <w:color w:val="000000" w:themeColor="text1"/>
                <w:sz w:val="21"/>
                <w:szCs w:val="21"/>
                <w14:textFill>
                  <w14:solidFill>
                    <w14:schemeClr w14:val="tx1"/>
                  </w14:solidFill>
                </w14:textFill>
              </w:rPr>
              <w:t>万元，</w:t>
            </w:r>
            <w:r>
              <w:rPr>
                <w:rFonts w:hint="eastAsia"/>
                <w:color w:val="000000" w:themeColor="text1"/>
                <w:sz w:val="21"/>
                <w:szCs w:val="21"/>
                <w:lang w:val="en-US" w:eastAsia="zh-CN"/>
                <w14:textFill>
                  <w14:solidFill>
                    <w14:schemeClr w14:val="tx1"/>
                  </w14:solidFill>
                </w14:textFill>
              </w:rPr>
              <w:t>其中</w:t>
            </w:r>
            <w:r>
              <w:rPr>
                <w:color w:val="000000" w:themeColor="text1"/>
                <w:sz w:val="21"/>
                <w:szCs w:val="21"/>
                <w14:textFill>
                  <w14:solidFill>
                    <w14:schemeClr w14:val="tx1"/>
                  </w14:solidFill>
                </w14:textFill>
              </w:rPr>
              <w:t>环保投资</w:t>
            </w:r>
            <w:r>
              <w:rPr>
                <w:rFonts w:hint="eastAsia"/>
                <w:color w:val="000000" w:themeColor="text1"/>
                <w:sz w:val="21"/>
                <w:szCs w:val="21"/>
                <w14:textFill>
                  <w14:solidFill>
                    <w14:schemeClr w14:val="tx1"/>
                  </w14:solidFill>
                </w14:textFill>
              </w:rPr>
              <w:t>170</w:t>
            </w:r>
            <w:r>
              <w:rPr>
                <w:color w:val="000000" w:themeColor="text1"/>
                <w:sz w:val="21"/>
                <w:szCs w:val="21"/>
                <w14:textFill>
                  <w14:solidFill>
                    <w14:schemeClr w14:val="tx1"/>
                  </w14:solidFill>
                </w14:textFill>
              </w:rPr>
              <w:t>万元</w:t>
            </w:r>
            <w:r>
              <w:rPr>
                <w:rFonts w:hint="eastAsia"/>
                <w:color w:val="000000" w:themeColor="text1"/>
                <w:sz w:val="21"/>
                <w:szCs w:val="21"/>
                <w14:textFill>
                  <w14:solidFill>
                    <w14:schemeClr w14:val="tx1"/>
                  </w14:solidFill>
                </w14:textFill>
              </w:rPr>
              <w:t>。</w:t>
            </w:r>
          </w:p>
        </w:tc>
        <w:tc>
          <w:tcPr>
            <w:tcW w:w="8080" w:type="dxa"/>
            <w:vAlign w:val="center"/>
          </w:tcPr>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一、施工期环境保护措施</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（1）废气</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施工扬尘通过洒水抑尘、施工车辆实行限速行驶、散料堆场采用水喷淋防尘，或用蓬布遮盖散料堆等措施</w:t>
            </w:r>
            <w:r>
              <w:rPr>
                <w:rFonts w:hint="eastAsia"/>
                <w:color w:val="000000" w:themeColor="text1"/>
                <w:sz w:val="21"/>
                <w:szCs w:val="21"/>
                <w:lang w:eastAsia="zh-CN"/>
                <w14:textFill>
                  <w14:solidFill>
                    <w14:schemeClr w14:val="tx1"/>
                  </w14:solidFill>
                </w14:textFill>
              </w:rPr>
              <w:t>减少扬尘污染</w:t>
            </w:r>
            <w:r>
              <w:rPr>
                <w:rFonts w:hint="eastAsia"/>
                <w:color w:val="000000" w:themeColor="text1"/>
                <w:sz w:val="21"/>
                <w:szCs w:val="21"/>
                <w14:textFill>
                  <w14:solidFill>
                    <w14:schemeClr w14:val="tx1"/>
                  </w14:solidFill>
                </w14:textFill>
              </w:rPr>
              <w:t>。</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（2）废水</w:t>
            </w:r>
          </w:p>
          <w:p>
            <w:pPr>
              <w:pStyle w:val="7"/>
              <w:shd w:val="clear" w:color="auto" w:fill="FFFFFF"/>
              <w:spacing w:before="0" w:beforeAutospacing="0" w:after="0" w:afterAutospacing="0" w:line="300" w:lineRule="atLeast"/>
              <w:ind w:firstLine="405"/>
              <w:jc w:val="both"/>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施工废水经沉淀后回用，</w:t>
            </w:r>
            <w:r>
              <w:rPr>
                <w:color w:val="000000" w:themeColor="text1"/>
                <w:sz w:val="21"/>
                <w:szCs w:val="21"/>
                <w14:textFill>
                  <w14:solidFill>
                    <w14:schemeClr w14:val="tx1"/>
                  </w14:solidFill>
                </w14:textFill>
              </w:rPr>
              <w:t>生活污水</w:t>
            </w:r>
            <w:r>
              <w:rPr>
                <w:rFonts w:hint="eastAsia"/>
                <w:color w:val="000000" w:themeColor="text1"/>
                <w:sz w:val="21"/>
                <w:szCs w:val="21"/>
                <w:lang w:val="en-US" w:eastAsia="zh-CN"/>
                <w14:textFill>
                  <w14:solidFill>
                    <w14:schemeClr w14:val="tx1"/>
                  </w14:solidFill>
                </w14:textFill>
              </w:rPr>
              <w:t>依托现有污水处理设施收集处理。</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（3）噪声</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尽量选用低噪声设备，优化平面布局，使高噪声设备远离环境敏感点。合理安排施工时间，禁止夜间施工；合理安排施工工序，避免大量高噪声设备同时施工。运输车辆限速行驶，控制汽车鸣笛。</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（4）固废</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巷道掘进矸石尽量回填采空区，不能回填采空区的矸石暂存至矸石临时堆场，</w:t>
            </w:r>
            <w:r>
              <w:rPr>
                <w:rFonts w:hint="eastAsia"/>
                <w:color w:val="000000" w:themeColor="text1"/>
                <w:sz w:val="21"/>
                <w:szCs w:val="21"/>
                <w:lang w:eastAsia="zh-CN"/>
                <w14:textFill>
                  <w14:solidFill>
                    <w14:schemeClr w14:val="tx1"/>
                  </w14:solidFill>
                </w14:textFill>
              </w:rPr>
              <w:t>定期外运综合利用</w:t>
            </w:r>
            <w:r>
              <w:rPr>
                <w:rFonts w:hint="eastAsia"/>
                <w:color w:val="000000" w:themeColor="text1"/>
                <w:sz w:val="21"/>
                <w:szCs w:val="21"/>
                <w14:textFill>
                  <w14:solidFill>
                    <w14:schemeClr w14:val="tx1"/>
                  </w14:solidFill>
                </w14:textFill>
              </w:rPr>
              <w:t>；建筑垃圾尽量回收利用，不能回收的应运往城乡规划部门指定的建筑垃圾堆放场；生活垃圾经集中收集后由环卫部门统一清运处理。</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（5）生态治理措施</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项目不新增占地，在现有范围内建设，严格控制施工范围；施工结束后，及时进行场地绿化恢复。</w:t>
            </w:r>
            <w:bookmarkStart w:id="2" w:name="_GoBack"/>
            <w:bookmarkEnd w:id="2"/>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二、营运期环境保护措施</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）废气</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储煤场、</w:t>
            </w:r>
            <w:r>
              <w:rPr>
                <w:rFonts w:hint="eastAsia" w:ascii="Times New Roman" w:hAnsi="Times New Roman"/>
                <w:kern w:val="0"/>
                <w:szCs w:val="21"/>
              </w:rPr>
              <w:t>临时矸石场</w:t>
            </w:r>
            <w:r>
              <w:rPr>
                <w:rFonts w:hint="eastAsia"/>
                <w:color w:val="000000" w:themeColor="text1"/>
                <w:sz w:val="21"/>
                <w:szCs w:val="21"/>
                <w14:textFill>
                  <w14:solidFill>
                    <w14:schemeClr w14:val="tx1"/>
                  </w14:solidFill>
                </w14:textFill>
              </w:rPr>
              <w:t>采用全封闭式堆场，采用顶部遮盖、三面围挡的半封闭式结构，并设置防尘水雾喷洒系统，在堆场内设置喷雾降尘装置，防止粉尘污染；井下开采过程通过设置喷雾装置，湿法作业，对作业面进行喷雾洒水降尘等措施；运输车辆采用篷布遮盖密闭运输，车辆出场进行冲洗，加强对道路清扫、洒水降尘；食堂油烟经油烟净化装置处理后引至屋顶排放。</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）废水</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改</w:t>
            </w:r>
            <w:r>
              <w:rPr>
                <w:rFonts w:hint="eastAsia"/>
                <w:color w:val="000000" w:themeColor="text1"/>
                <w:sz w:val="21"/>
                <w:szCs w:val="21"/>
                <w:lang w:eastAsia="zh-CN"/>
                <w14:textFill>
                  <w14:solidFill>
                    <w14:schemeClr w14:val="tx1"/>
                  </w14:solidFill>
                </w14:textFill>
              </w:rPr>
              <w:t>扩</w:t>
            </w:r>
            <w:r>
              <w:rPr>
                <w:color w:val="000000" w:themeColor="text1"/>
                <w:sz w:val="21"/>
                <w:szCs w:val="21"/>
                <w14:textFill>
                  <w14:solidFill>
                    <w14:schemeClr w14:val="tx1"/>
                  </w14:solidFill>
                </w14:textFill>
              </w:rPr>
              <w:t>建现有污水处理站规模</w:t>
            </w:r>
            <w:r>
              <w:rPr>
                <w:rFonts w:hint="eastAsia"/>
                <w:color w:val="000000" w:themeColor="text1"/>
                <w:sz w:val="21"/>
                <w:szCs w:val="21"/>
                <w:lang w:eastAsia="zh-CN"/>
                <w14:textFill>
                  <w14:solidFill>
                    <w14:schemeClr w14:val="tx1"/>
                  </w14:solidFill>
                </w14:textFill>
              </w:rPr>
              <w:t>，处理规模达13000</w:t>
            </w:r>
            <w:r>
              <w:rPr>
                <w:rFonts w:hint="eastAsia"/>
                <w:color w:val="000000" w:themeColor="text1"/>
                <w:sz w:val="21"/>
                <w:szCs w:val="21"/>
                <w:lang w:val="en-US" w:eastAsia="zh-CN"/>
                <w14:textFill>
                  <w14:solidFill>
                    <w14:schemeClr w14:val="tx1"/>
                  </w14:solidFill>
                </w14:textFill>
              </w:rPr>
              <w:t>立方米</w:t>
            </w:r>
            <w:r>
              <w:rPr>
                <w:rFonts w:hint="eastAsia"/>
                <w:color w:val="000000" w:themeColor="text1"/>
                <w:sz w:val="21"/>
                <w:szCs w:val="21"/>
                <w:lang w:eastAsia="zh-CN"/>
                <w14:textFill>
                  <w14:solidFill>
                    <w14:schemeClr w14:val="tx1"/>
                  </w14:solidFill>
                </w14:textFill>
              </w:rPr>
              <w:t>/d，</w:t>
            </w:r>
            <w:r>
              <w:rPr>
                <w:color w:val="000000" w:themeColor="text1"/>
                <w:sz w:val="21"/>
                <w:szCs w:val="21"/>
                <w14:textFill>
                  <w14:solidFill>
                    <w14:schemeClr w14:val="tx1"/>
                  </w14:solidFill>
                </w14:textFill>
              </w:rPr>
              <w:t>采用</w:t>
            </w:r>
            <w:r>
              <w:rPr>
                <w:rFonts w:hint="eastAsia"/>
                <w:color w:val="000000" w:themeColor="text1"/>
                <w:sz w:val="21"/>
                <w:szCs w:val="21"/>
                <w14:textFill>
                  <w14:solidFill>
                    <w14:schemeClr w14:val="tx1"/>
                  </w14:solidFill>
                </w14:textFill>
              </w:rPr>
              <w:t>“隔油+混凝沉淀+锰砂过滤+消毒”</w:t>
            </w:r>
            <w:r>
              <w:rPr>
                <w:color w:val="000000" w:themeColor="text1"/>
                <w:sz w:val="21"/>
                <w:szCs w:val="21"/>
                <w14:textFill>
                  <w14:solidFill>
                    <w14:schemeClr w14:val="tx1"/>
                  </w14:solidFill>
                </w14:textFill>
              </w:rPr>
              <w:t>工艺，井下采煤水水经处理后达到《地表水环境质量标准》III水质标准要求及含盐量低于1000mg/L标准限值要求，部分作为采矿用水回用（井下和地面的消防、防尘用水），剩余部分达标</w:t>
            </w:r>
            <w:r>
              <w:rPr>
                <w:rFonts w:hint="eastAsia"/>
                <w:color w:val="000000" w:themeColor="text1"/>
                <w:sz w:val="21"/>
                <w:szCs w:val="21"/>
                <w14:textFill>
                  <w14:solidFill>
                    <w14:schemeClr w14:val="tx1"/>
                  </w14:solidFill>
                </w14:textFill>
              </w:rPr>
              <w:t>排放至陈家湾。</w:t>
            </w:r>
          </w:p>
          <w:p>
            <w:pPr>
              <w:pStyle w:val="7"/>
              <w:shd w:val="clear" w:color="auto" w:fill="FFFFFF"/>
              <w:spacing w:before="0" w:beforeAutospacing="0" w:after="0" w:afterAutospacing="0"/>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生活污水采用“A/O+消毒”处理工艺，生活污水</w:t>
            </w:r>
            <w:r>
              <w:rPr>
                <w:color w:val="000000" w:themeColor="text1"/>
                <w:sz w:val="21"/>
                <w:szCs w:val="21"/>
                <w14:textFill>
                  <w14:solidFill>
                    <w14:schemeClr w14:val="tx1"/>
                  </w14:solidFill>
                </w14:textFill>
              </w:rPr>
              <w:t>经一体化生化污水处理站处理后达到《城市污水再生利用城市杂用水水质》（GB/T18920-2002）中城镇杂用水水质（绿化用水）标准，回用于矿井矿区绿化或洒水，不外排。</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（3）噪声</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选用低噪声设备，合理布局工业场地，同时对各类设备设置减振基础；通风机安装减振器，风道安装消声器；压风机等高噪声设备置于室内，利用建筑物隔声；</w:t>
            </w:r>
            <w:r>
              <w:rPr>
                <w:color w:val="000000" w:themeColor="text1"/>
                <w:sz w:val="21"/>
                <w:szCs w:val="21"/>
                <w14:textFill>
                  <w14:solidFill>
                    <w14:schemeClr w14:val="tx1"/>
                  </w14:solidFill>
                </w14:textFill>
              </w:rPr>
              <w:t>加强运煤车辆运输管理，合理安排运输时间，</w:t>
            </w:r>
            <w:r>
              <w:rPr>
                <w:rFonts w:hint="eastAsia"/>
                <w:color w:val="000000" w:themeColor="text1"/>
                <w:sz w:val="21"/>
                <w:szCs w:val="21"/>
                <w14:textFill>
                  <w14:solidFill>
                    <w14:schemeClr w14:val="tx1"/>
                  </w14:solidFill>
                </w14:textFill>
              </w:rPr>
              <w:t>在</w:t>
            </w:r>
            <w:r>
              <w:rPr>
                <w:color w:val="000000" w:themeColor="text1"/>
                <w:sz w:val="21"/>
                <w:szCs w:val="21"/>
                <w14:textFill>
                  <w14:solidFill>
                    <w14:schemeClr w14:val="tx1"/>
                  </w14:solidFill>
                </w14:textFill>
              </w:rPr>
              <w:t>经过居民区时严禁鸣笛。</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（4）固体废物</w:t>
            </w:r>
          </w:p>
          <w:p>
            <w:pPr>
              <w:pStyle w:val="7"/>
              <w:shd w:val="clear" w:color="auto" w:fill="FFFFFF"/>
              <w:spacing w:before="0" w:beforeAutospacing="0" w:after="0" w:afterAutospacing="0" w:line="300" w:lineRule="atLeast"/>
              <w:ind w:firstLine="405"/>
              <w:jc w:val="both"/>
              <w:rPr>
                <w:rFonts w:ascii="Times New Roman" w:hAnsi="Times New Roman" w:cs="Times New Roman"/>
              </w:rPr>
            </w:pPr>
            <w:r>
              <w:rPr>
                <w:rFonts w:hint="eastAsia"/>
                <w:color w:val="000000" w:themeColor="text1"/>
                <w:sz w:val="21"/>
                <w:szCs w:val="21"/>
                <w14:textFill>
                  <w14:solidFill>
                    <w14:schemeClr w14:val="tx1"/>
                  </w14:solidFill>
                </w14:textFill>
              </w:rPr>
              <w:t>矸石运至民达建材厂综合利用，生活污水处理系统污泥和生活垃圾定期交由环卫部门处理。</w:t>
            </w:r>
            <w:r>
              <w:rPr>
                <w:color w:val="000000" w:themeColor="text1"/>
                <w:sz w:val="21"/>
                <w:szCs w:val="21"/>
                <w14:textFill>
                  <w14:solidFill>
                    <w14:schemeClr w14:val="tx1"/>
                  </w14:solidFill>
                </w14:textFill>
              </w:rPr>
              <w:t>煤泥掺入原煤外售，</w:t>
            </w:r>
            <w:r>
              <w:rPr>
                <w:rFonts w:hint="eastAsia"/>
                <w:color w:val="000000" w:themeColor="text1"/>
                <w:sz w:val="21"/>
                <w:szCs w:val="21"/>
                <w14:textFill>
                  <w14:solidFill>
                    <w14:schemeClr w14:val="tx1"/>
                  </w14:solidFill>
                </w14:textFill>
              </w:rPr>
              <w:t>废锂电矿灯</w:t>
            </w:r>
            <w:r>
              <w:rPr>
                <w:rFonts w:hint="eastAsia"/>
                <w:color w:val="000000" w:themeColor="text1"/>
                <w:sz w:val="21"/>
                <w:szCs w:val="21"/>
                <w:lang w:eastAsia="zh-CN"/>
                <w14:textFill>
                  <w14:solidFill>
                    <w14:schemeClr w14:val="tx1"/>
                  </w14:solidFill>
                </w14:textFill>
              </w:rPr>
              <w:t>由厂家回收处置。</w:t>
            </w:r>
            <w:r>
              <w:rPr>
                <w:rFonts w:hint="eastAsia"/>
                <w:color w:val="000000" w:themeColor="text1"/>
                <w:sz w:val="21"/>
                <w:szCs w:val="21"/>
                <w14:textFill>
                  <w14:solidFill>
                    <w14:schemeClr w14:val="tx1"/>
                  </w14:solidFill>
                </w14:textFill>
              </w:rPr>
              <w:t>废铅蓄电池、废机油、含油抹布及手套暂存于危废暂存间，定期交由有资质的单位处理。</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（5）地下水</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通过坚持“源头控制、分区防治、污染监控、应急响应”的原则，对机修车间、危废暂存间、矿井水处理站等采取重点防渗，防止污染地下水。通过布设地下水跟踪监测点，对区内地下水水位与水质进行动态监测，一旦发现水位和水质异常，应立刻采取有效措施，避免对周边居民生产生活用水造成影响。</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（6）生态环境影响</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项目营运期生态环境影响体现为矿区地表沉降。开采过程中，</w:t>
            </w:r>
            <w:bookmarkStart w:id="0" w:name="_Hlk132073386"/>
            <w:r>
              <w:rPr>
                <w:rFonts w:hint="eastAsia"/>
                <w:color w:val="000000" w:themeColor="text1"/>
                <w:sz w:val="21"/>
                <w:szCs w:val="21"/>
                <w14:textFill>
                  <w14:solidFill>
                    <w14:schemeClr w14:val="tx1"/>
                  </w14:solidFill>
                </w14:textFill>
              </w:rPr>
              <w:t>禁止越界、越层开采</w:t>
            </w:r>
            <w:bookmarkEnd w:id="0"/>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预留煤柱保护河流、地面主要建筑物</w:t>
            </w:r>
            <w:r>
              <w:rPr>
                <w:rFonts w:hint="eastAsia"/>
                <w:color w:val="000000" w:themeColor="text1"/>
                <w:sz w:val="21"/>
                <w:szCs w:val="21"/>
                <w14:textFill>
                  <w14:solidFill>
                    <w14:schemeClr w14:val="tx1"/>
                  </w14:solidFill>
                </w14:textFill>
              </w:rPr>
              <w:t>。对沉陷的耕地、林地进行整治恢复，及生态补偿。因地制宜地对各类施工迹地进行绿化恢复，加强对职工的监管力度，禁止乱砍乱伐、捕杀野生动物。</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三、环境风险</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环境风险主要为危险废物暂存间内油类物质泄漏、矿井涌水处理设施非正常工况下或事故排放等风险。采取的主要防范措施：危废暂存间采取重点防渗处理，并按危废管理规定落实贮存和及时转运措施，减少现场堆存量。</w:t>
            </w:r>
            <w:bookmarkStart w:id="1" w:name="_Hlk132073708"/>
            <w:r>
              <w:rPr>
                <w:rFonts w:hint="eastAsia"/>
                <w:color w:val="000000" w:themeColor="text1"/>
                <w:sz w:val="21"/>
                <w:szCs w:val="21"/>
                <w14:textFill>
                  <w14:solidFill>
                    <w14:schemeClr w14:val="tx1"/>
                  </w14:solidFill>
                </w14:textFill>
              </w:rPr>
              <w:t>矿井水处理站加强矿井水处理设施巡检，确保设备安全稳定运行，减少事故排放。</w:t>
            </w:r>
            <w:bookmarkEnd w:id="1"/>
            <w:r>
              <w:rPr>
                <w:rFonts w:hint="eastAsia"/>
                <w:color w:val="000000" w:themeColor="text1"/>
                <w:sz w:val="21"/>
                <w:szCs w:val="21"/>
                <w14:textFill>
                  <w14:solidFill>
                    <w14:schemeClr w14:val="tx1"/>
                  </w14:solidFill>
                </w14:textFill>
              </w:rPr>
              <w:t>对瓦斯进行隔爆措施，防止瓦斯聚集、引燃；加强炸药库管理，严禁火种，配备消防器材；制定环境风险应急预案，环境风险事故时及时启动并按照预案采取环境风险防范和应急处置措施。</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四、公众参与情况</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项目进行了网络公示、报纸公示及现场张贴公示，均未收到反对意见。</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五、其他部门意见</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1、四川省化解煤炭行业过剩产能（煤矿企业兼重组）和脱困升级工作领导小组办公室《关于四川省万源市万通实业有限公司陈家湾煤矿产能置换方案的批复》（川煤化解办函〔2022〕4号）；</w:t>
            </w:r>
          </w:p>
          <w:p>
            <w:pPr>
              <w:pStyle w:val="7"/>
              <w:shd w:val="clear" w:color="auto" w:fill="FFFFFF"/>
              <w:spacing w:before="0" w:beforeAutospacing="0" w:after="0" w:afterAutospacing="0" w:line="300" w:lineRule="atLeast"/>
              <w:ind w:firstLine="405"/>
              <w:jc w:val="both"/>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r>
              <w:rPr>
                <w:rFonts w:hint="eastAsia"/>
                <w:color w:val="000000" w:themeColor="text1"/>
                <w:sz w:val="21"/>
                <w:szCs w:val="21"/>
                <w14:textFill>
                  <w14:solidFill>
                    <w14:schemeClr w14:val="tx1"/>
                  </w14:solidFill>
                </w14:textFill>
              </w:rPr>
              <w:t>四川省应急管理厅《关于核准四川省万源市万通实业有限公司陈家湾煤矿扩建工程项目的函》（川应急审批[2023]33号）</w:t>
            </w:r>
            <w:r>
              <w:rPr>
                <w:rFonts w:hint="eastAsia"/>
                <w:color w:val="000000" w:themeColor="text1"/>
                <w:sz w:val="21"/>
                <w:szCs w:val="21"/>
                <w:lang w:eastAsia="zh-CN"/>
                <w14:textFill>
                  <w14:solidFill>
                    <w14:schemeClr w14:val="tx1"/>
                  </w14:solidFill>
                </w14:textFill>
              </w:rPr>
              <w:t>；</w:t>
            </w:r>
          </w:p>
          <w:p>
            <w:pPr>
              <w:pStyle w:val="7"/>
              <w:shd w:val="clear" w:color="auto" w:fill="FFFFFF"/>
              <w:spacing w:before="0" w:beforeAutospacing="0" w:after="0" w:afterAutospacing="0" w:line="300" w:lineRule="atLeast"/>
              <w:ind w:firstLine="405"/>
              <w:jc w:val="both"/>
              <w:rPr>
                <w:rFonts w:hint="eastAsia"/>
                <w:color w:val="000000" w:themeColor="text1"/>
                <w:sz w:val="21"/>
                <w:szCs w:val="21"/>
                <w:lang w:val="en-US" w:eastAsia="zh-CN"/>
                <w14:textFill>
                  <w14:solidFill>
                    <w14:schemeClr w14:val="tx1"/>
                  </w14:solidFill>
                </w14:textFill>
              </w:rPr>
            </w:pPr>
            <w:r>
              <w:rPr>
                <w:color w:val="000000" w:themeColor="text1"/>
                <w:sz w:val="21"/>
                <w:szCs w:val="21"/>
                <w14:textFill>
                  <w14:solidFill>
                    <w14:schemeClr w14:val="tx1"/>
                  </w14:solidFill>
                </w14:textFill>
              </w:rPr>
              <w:t>3</w:t>
            </w:r>
            <w:r>
              <w:rPr>
                <w:rFonts w:hint="eastAsia"/>
                <w:color w:val="000000" w:themeColor="text1"/>
                <w:sz w:val="21"/>
                <w:szCs w:val="21"/>
                <w14:textFill>
                  <w14:solidFill>
                    <w14:schemeClr w14:val="tx1"/>
                  </w14:solidFill>
                </w14:textFill>
              </w:rPr>
              <w:t>、万源市人民政府《关于审定&lt;四川省万源市万通实业有限公司陈家湾煤矿永久基本农田影响论证报告&gt;及其评审意见书的函》（万府函〔2020]598号）</w:t>
            </w:r>
            <w:r>
              <w:rPr>
                <w:rFonts w:hint="eastAsia"/>
                <w:color w:val="000000" w:themeColor="text1"/>
                <w:sz w:val="21"/>
                <w:szCs w:val="21"/>
                <w:lang w:val="en-US" w:eastAsia="zh-CN"/>
                <w14:textFill>
                  <w14:solidFill>
                    <w14:schemeClr w14:val="tx1"/>
                  </w14:solidFill>
                </w14:textFill>
              </w:rPr>
              <w:t>;</w:t>
            </w:r>
          </w:p>
          <w:p>
            <w:pPr>
              <w:pStyle w:val="7"/>
              <w:shd w:val="clear" w:color="auto" w:fill="FFFFFF"/>
              <w:spacing w:before="0" w:beforeAutospacing="0" w:after="0" w:afterAutospacing="0" w:line="300" w:lineRule="atLeast"/>
              <w:ind w:firstLine="405"/>
              <w:jc w:val="both"/>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达州市自然资源和规划局《关于对&lt;四川省万源市万通实业有限公司陈家湾煤矿永久基本农田影响论证报告&gt;审查意见的报告》（达市自然资规〔2020]467号）.</w:t>
            </w:r>
          </w:p>
        </w:tc>
      </w:tr>
    </w:tbl>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汉仪中圆B5">
    <w:panose1 w:val="02010600000101010101"/>
    <w:charset w:val="88"/>
    <w:family w:val="auto"/>
    <w:pitch w:val="default"/>
    <w:sig w:usb0="00000001" w:usb1="080E0800" w:usb2="00000002" w:usb3="00000000" w:csb0="0010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ZjA1OWNkMjliMGNhODkxMzE4ZDljN2EyMDQ4ZTEifQ=="/>
  </w:docVars>
  <w:rsids>
    <w:rsidRoot w:val="50C41319"/>
    <w:rsid w:val="000F64CE"/>
    <w:rsid w:val="00276FAC"/>
    <w:rsid w:val="00337056"/>
    <w:rsid w:val="00344733"/>
    <w:rsid w:val="00357038"/>
    <w:rsid w:val="00393161"/>
    <w:rsid w:val="00520212"/>
    <w:rsid w:val="0062370C"/>
    <w:rsid w:val="00684407"/>
    <w:rsid w:val="008F4151"/>
    <w:rsid w:val="00C2634E"/>
    <w:rsid w:val="00CE6AC5"/>
    <w:rsid w:val="00D429A0"/>
    <w:rsid w:val="00D751E1"/>
    <w:rsid w:val="00E91A0A"/>
    <w:rsid w:val="01591F3A"/>
    <w:rsid w:val="06863BDB"/>
    <w:rsid w:val="078B0EFC"/>
    <w:rsid w:val="07DD473F"/>
    <w:rsid w:val="08643D8A"/>
    <w:rsid w:val="087D10A1"/>
    <w:rsid w:val="08B65EDB"/>
    <w:rsid w:val="0ADC6DFF"/>
    <w:rsid w:val="0BE46AD6"/>
    <w:rsid w:val="0C6702D8"/>
    <w:rsid w:val="101F16FF"/>
    <w:rsid w:val="111F7DDE"/>
    <w:rsid w:val="1EC3193E"/>
    <w:rsid w:val="221100E0"/>
    <w:rsid w:val="23A5021D"/>
    <w:rsid w:val="253634F0"/>
    <w:rsid w:val="27EE00B2"/>
    <w:rsid w:val="28724840"/>
    <w:rsid w:val="295834E4"/>
    <w:rsid w:val="3500705A"/>
    <w:rsid w:val="35BD150D"/>
    <w:rsid w:val="3A730FAE"/>
    <w:rsid w:val="3BCD02B3"/>
    <w:rsid w:val="3EC534C3"/>
    <w:rsid w:val="3EDF5D33"/>
    <w:rsid w:val="44AB315B"/>
    <w:rsid w:val="4715221E"/>
    <w:rsid w:val="4B2257CA"/>
    <w:rsid w:val="4B3519D1"/>
    <w:rsid w:val="4BAA734D"/>
    <w:rsid w:val="4FFC2ABD"/>
    <w:rsid w:val="50C41319"/>
    <w:rsid w:val="57580F21"/>
    <w:rsid w:val="57C645A8"/>
    <w:rsid w:val="59245D88"/>
    <w:rsid w:val="60870AFB"/>
    <w:rsid w:val="65E03E93"/>
    <w:rsid w:val="65FB6F96"/>
    <w:rsid w:val="66EC3434"/>
    <w:rsid w:val="6C6121CE"/>
    <w:rsid w:val="6C691082"/>
    <w:rsid w:val="6C9F2CF6"/>
    <w:rsid w:val="6FEF761C"/>
    <w:rsid w:val="777051E7"/>
    <w:rsid w:val="77ADDECD"/>
    <w:rsid w:val="9F65DB32"/>
    <w:rsid w:val="A0CD65F2"/>
    <w:rsid w:val="BBF63C81"/>
    <w:rsid w:val="DE5E10F3"/>
    <w:rsid w:val="E977AE54"/>
    <w:rsid w:val="EB4BE5BE"/>
    <w:rsid w:val="FE7B4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rFonts w:ascii="等线" w:hAnsi="等线" w:eastAsia="等线"/>
      <w:b/>
      <w:kern w:val="44"/>
      <w:sz w:val="44"/>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360" w:lineRule="auto"/>
    </w:pPr>
    <w:rPr>
      <w:sz w:val="24"/>
    </w:rPr>
  </w:style>
  <w:style w:type="paragraph" w:styleId="4">
    <w:name w:val="Body Text Indent"/>
    <w:basedOn w:val="1"/>
    <w:link w:val="13"/>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Body Text First Indent 2"/>
    <w:basedOn w:val="4"/>
    <w:link w:val="14"/>
    <w:qFormat/>
    <w:uiPriority w:val="0"/>
    <w:pPr>
      <w:ind w:firstLine="420" w:firstLineChars="200"/>
    </w:pPr>
  </w:style>
  <w:style w:type="paragraph" w:customStyle="1" w:styleId="1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2">
    <w:name w:val="ca-41"/>
    <w:qFormat/>
    <w:uiPriority w:val="0"/>
    <w:rPr>
      <w:rFonts w:hint="eastAsia" w:ascii="宋体" w:hAnsi="宋体" w:eastAsia="宋体"/>
      <w:sz w:val="24"/>
      <w:szCs w:val="24"/>
    </w:rPr>
  </w:style>
  <w:style w:type="character" w:customStyle="1" w:styleId="13">
    <w:name w:val="正文文本缩进 字符"/>
    <w:basedOn w:val="10"/>
    <w:link w:val="4"/>
    <w:qFormat/>
    <w:uiPriority w:val="0"/>
    <w:rPr>
      <w:kern w:val="2"/>
      <w:sz w:val="21"/>
      <w:szCs w:val="24"/>
    </w:rPr>
  </w:style>
  <w:style w:type="character" w:customStyle="1" w:styleId="14">
    <w:name w:val="正文文本首行缩进 2 字符"/>
    <w:basedOn w:val="13"/>
    <w:link w:val="8"/>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2020</Words>
  <Characters>2116</Characters>
  <Lines>16</Lines>
  <Paragraphs>4</Paragraphs>
  <TotalTime>2</TotalTime>
  <ScaleCrop>false</ScaleCrop>
  <LinksUpToDate>false</LinksUpToDate>
  <CharactersWithSpaces>2116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2020-12-17T23:33:00Z</dcterms:created>
  <dc:creator>木林之风@</dc:creator>
  <cp:lastModifiedBy>user</cp:lastModifiedBy>
  <dcterms:modified xsi:type="dcterms:W3CDTF">2023-06-12T16:27:18Z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27C024F0D92742ABA1BF60F1025BF5B6</vt:lpwstr>
  </property>
</Properties>
</file>