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824"/>
        <w:gridCol w:w="675"/>
        <w:gridCol w:w="705"/>
        <w:gridCol w:w="750"/>
        <w:gridCol w:w="2190"/>
        <w:gridCol w:w="8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序号</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建设地点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建设单位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环评机构</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项目概况</w:t>
            </w:r>
          </w:p>
        </w:tc>
        <w:tc>
          <w:tcPr>
            <w:tcW w:w="8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333333"/>
                <w:kern w:val="2"/>
                <w:sz w:val="22"/>
                <w:szCs w:val="22"/>
                <w:u w:val="none"/>
                <w:lang w:val="en-US" w:eastAsia="zh-CN" w:bidi="ar-SA"/>
              </w:rPr>
            </w:pPr>
            <w:r>
              <w:rPr>
                <w:rFonts w:hint="default" w:ascii="微软雅黑" w:hAnsi="微软雅黑" w:eastAsia="微软雅黑" w:cs="微软雅黑"/>
                <w:b/>
                <w:i w:val="0"/>
                <w:color w:val="333333"/>
                <w:kern w:val="0"/>
                <w:sz w:val="22"/>
                <w:szCs w:val="22"/>
                <w:u w:val="none"/>
                <w:lang w:val="en-US" w:eastAsia="zh-CN" w:bidi="ar"/>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b/>
                <w:i w:val="0"/>
                <w:color w:val="333333"/>
                <w:sz w:val="22"/>
                <w:szCs w:val="22"/>
                <w:u w:val="none"/>
                <w:lang w:val="en-US" w:eastAsia="zh-CN"/>
              </w:rPr>
            </w:pPr>
            <w:r>
              <w:rPr>
                <w:rFonts w:hint="eastAsia" w:ascii="微软雅黑" w:hAnsi="微软雅黑" w:eastAsia="微软雅黑" w:cs="微软雅黑"/>
                <w:b/>
                <w:i w:val="0"/>
                <w:color w:val="333333"/>
                <w:sz w:val="22"/>
                <w:szCs w:val="22"/>
                <w:u w:val="none"/>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color w:val="000000" w:themeColor="text1"/>
                <w:sz w:val="22"/>
                <w:szCs w:val="22"/>
                <w:u w:val="none"/>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兰草沟煤矿扩建工程项目</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sz w:val="22"/>
                <w:szCs w:val="22"/>
                <w:u w:val="none"/>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行政区划隶属达川区大树镇所辖</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sz w:val="22"/>
                <w:szCs w:val="22"/>
                <w:u w:val="none"/>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达州市兰草沟煤业有限责任公司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sz w:val="22"/>
                <w:szCs w:val="22"/>
                <w:u w:val="none"/>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德阳显众环境科技有限公司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color w:val="000000" w:themeColor="text1"/>
                <w:sz w:val="20"/>
                <w:szCs w:val="20"/>
                <w:u w:val="none"/>
                <w14:textFill>
                  <w14:solidFill>
                    <w14:schemeClr w14:val="tx1"/>
                  </w14:solidFill>
                </w14:textFill>
              </w:rPr>
            </w:pP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项目属于《四川省达州市达川区煤炭矿区总体规划》中15个采矿权之一的兰草沟煤矿，位于明月峡片区内。现阶段兰草沟煤矿《采矿许可证》中兰草沟煤矿现矿区范围由1～12号拐点坐标圈闭，矿区面积2.6442</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平方千米</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，批准开采K11、K12、K14共三层煤层，开采标高：+710m～+370m。本次设计生产能力300kt/a，开采方式为上、下山开采；开拓方式为平硐开拓；服务年限7.4a。建设地点位于达川区城160°方向，直距约60</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千米</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。行政区划隶属达川区大树镇所辖。井田中心坐标东经107°39'1.02"，北纬30°52'21.90"。后期在完善矿区范围重新划定后，井田面积将达到规划的19.5</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平方千米</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（届时另行进行环评）。该煤矿扩建工程估算项目总投资为4827.03万元，环保投资371.5万元。</w:t>
            </w:r>
          </w:p>
        </w:tc>
        <w:tc>
          <w:tcPr>
            <w:tcW w:w="855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一、</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施工期环境保护措施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1、大气污染防治措施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使用的水泥和其他细颗粒散装原料，应贮存于库房内或密闭存放，避免露天堆放。施工道路每天洒水</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降尘</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，并及时清扫</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路面</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。避免大风天大面积开挖扰动地表施工，实时洒水降尘，冲洗进出车辆、采取密闭运输。加强临时堆土、堆料的挡护措施。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2、水污染防治措施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井下和地面施工废水，经矿井涌水处理设施处理后，回用于洒水降尘、机修车间等，剩余水量经过处理后达标排放至碗厂沟。</w:t>
            </w:r>
            <w:bookmarkStart w:id="0" w:name="_GoBack"/>
            <w:bookmarkEnd w:id="0"/>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生活废水处理可依托原工业场地的废水处理设施处理达标后回用。</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3、噪声污染防治措施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加强施工机械的维护和保养。</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4、固体废物防治措施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施工期巷道掘进产生的矸石全部外售砖厂制砖利用；建筑垃圾除部分回收利用或外售收购站；生活垃圾集中收集后，定期交当地环卫部门清运处置。</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5、生态环境保护措施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严格控制施工范围，减少土地占用；合理安排施工工期，优化施工方案，设临时沉砂池和挡土墙等防护措施，减轻水土流失。施工结束后，及时进行绿化恢复，降低生态环境影响。</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二、</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运营期环境保护措施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1、大气污染防治措施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原煤出井至转载储煤仓使用矿车运输，运输廊道全封闭；在矿井的翻车机房设置单机除尘机组进行机械除尘。矸石临时堆场地面硬化，设置为顶部设棚的半封闭棚架式，卸载站要尽量密闭合理控制装卸落差，在分散产尘区域周边设置喷雾洒水。储煤仓设置为全封闭棚架式，并在储煤仓和装车场地四周采取喷雾洒水防尘措施，储装场地硬化处理；运输车辆采用篷布遮盖密闭运输，车辆出场进行冲洗</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井下开采过程通过设置风流净化，湿法作业，对作业面进行喷雾洒水降尘。</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2、水污染防治措施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矿井涌水：矿井涌水处理站处理后达到《地表水环境质量标准》（GB3838-2002）Ⅲ类标准以及含盐量小于1000mg/L后回用于矿井生产、防尘、绿化等用水，多余部分排入明星水库。</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生活废水：依托一体化生活污水处理设施，生活废水经处理后达到相关《城市污水再生利用 城市杂用水水质》（GB/T18920-2020）要求后回用于绿化用水、洒水降尘用水以及车辆冲洗水等，不外排。</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3、噪声污染防治措施。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合理布局工业场地，选用低噪声设备，同时对提升机组设备主要采取建筑隔声和电机基础减震；采取在轴流风机的进风口安装减震器、采用建筑隔声、安装隔声门窗等；在风机进出风口设消隔振垫，风道敷设吸声材料，管道采用柔性材料连接等</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确保厂界噪声达标排放。</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4、固体废物防治措施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生活垃圾、生活污水处理设施污泥委托地方环卫部门清运处理；煤矸石暂存于工业广场内临时矸石场，定期通过汽车外运至砖厂进行综合利用；煤泥掺入原煤外</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售</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，不外排；坑木统一外售至木材厂加工利用。工业广场设置危废暂存间，做好“三防”措施，并设置标识标牌。废机油等危险废物定期交由资质单位处置。</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5、地下水污染防治措施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按照“源头控制、分区防治、污染监控、应急响应”相结合的原则，将修理车间、危废暂存间、矿井涌水处理站、储油间设置为重点防渗区，并采取相应防渗措施。通过布设地下水跟踪监测点，对矿区范围内地下水水位与水质进行动态监测，一旦发现水位和水质异常，应立刻采取有效措施，避免对周边居民生产、生活用水造成影响。</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6、生态环境保护措施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合理进行采矿布置，精心组织管理，在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员职工的监管力度，防止对爬行动物、两栖动物的捕食。</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7、土壤环境保护措施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工业场地矿井水处理站、生活污水处理站、机修车间、危废暂存间、储油间等采取分区防渗。报告书预测，正常状况下，工业场地对土壤环境质量影响较小。</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8、地表沉陷治理和生态保护措施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 xml:space="preserve">地表沉陷影响主要表现为地表裂缝、沉陷。通过预测，项目地表沉陷对井田范围内永久基本农田、公益林无影响。采煤过程中将实施“边破坏、边治理、边利用”的生态综合恢复措施，对地表裂缝充填、采煤塌陷区进行治理、土地复垦等，在采取上述措施后，项目实施对评价范围内土地利用类型影响较小。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仿宋" w:hAnsi="仿宋" w:eastAsia="仿宋" w:cs="仿宋"/>
                <w:i w:val="0"/>
                <w:color w:val="000000" w:themeColor="text1"/>
                <w:sz w:val="22"/>
                <w:szCs w:val="22"/>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三、</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环境风险防控措施</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本项目可能产生的环境风险有：危险废物暂存间内油类物质泄漏、矿井涌水处理设施非正常工况下或事故排放及临时矸石堆场溃坝的环境风险。采取的主要防范措施：危废暂存间、储油间、机修车间、矿井涌水处理站地面采取重点防渗处理。按照《一般工业固体废物贮存和填埋污染控制标准》(GB18599-2020)相关相求建设临时矸石堆场。                                                   </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四、</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公众参与情况</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项目进行了两次网络公示、两次报纸公示及现场张贴公示以及一次报批前公示，均未收到反对意见。统计结果，无反对意见。</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五、</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其他部门意见</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1、国家矿山安全监察局四川局《关于达州市兰草沟煤业有限责任公司兰草沟煤矿扩建项目安全审核意见的函》，（矿安川</w:t>
            </w:r>
            <w:r>
              <w:rPr>
                <w:rFonts w:hint="default" w:ascii="仿宋" w:hAnsi="仿宋" w:eastAsia="仿宋" w:cs="仿宋"/>
                <w:i w:val="0"/>
                <w:color w:val="auto"/>
                <w:kern w:val="0"/>
                <w:sz w:val="20"/>
                <w:szCs w:val="20"/>
                <w:u w:val="none"/>
                <w:lang w:val="en-US" w:eastAsia="zh-CN" w:bidi="ar"/>
              </w:rPr>
              <w:t>函</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〔2021〕</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66号）</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2、达州市应急管理局《关于达州市兰草沟煤业有限责任公司兰草沟煤矿扩建工程安全设施设计的函》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微软雅黑" w:hAnsi="微软雅黑" w:eastAsia="微软雅黑" w:cs="微软雅黑"/>
                <w:b/>
                <w:i w:val="0"/>
                <w:color w:val="333333"/>
                <w:sz w:val="22"/>
                <w:szCs w:val="22"/>
                <w:u w:val="none"/>
                <w:lang w:val="en-US" w:eastAsia="zh-CN"/>
              </w:rPr>
            </w:pPr>
            <w:r>
              <w:rPr>
                <w:rFonts w:hint="eastAsia" w:ascii="微软雅黑" w:hAnsi="微软雅黑" w:eastAsia="微软雅黑" w:cs="微软雅黑"/>
                <w:b/>
                <w:i w:val="0"/>
                <w:color w:val="333333"/>
                <w:sz w:val="22"/>
                <w:szCs w:val="22"/>
                <w:u w:val="none"/>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达州博瑞实业有限公司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易家沟煤矿（三号井）扩建工程</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达川区平滩镇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达州博瑞实业有限公司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四川博观智汇节能环保科技有限公司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项目属于《四川省达州市达川区煤炭矿区总体规划》中15个采矿权之一的易家沟煤矿（三号井），矿区面积为7.623</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平方千米</w:t>
            </w: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许可开采K10、K9、K7、K2、K1，矿区范围由28个拐点圈闭。本工程采用平硐+暗斜井开拓，矿区开采标高为+700m～0m。本工程扩建完成后设计生产能力为300kt/a，服务年限6.9a。采用平硐+暗斜井开拓，投产时共布置有3个井筒，即：+390m主平硐、+377m副平硐和+388m回风平硐。整个矿井划为一个水平开采，水平标高+5m。在一采区+195m～+152m标高的K9煤层中布置1个综采工作面达到30万t/a的生产能力。该煤矿扩建工程环保投资为473万元。</w:t>
            </w:r>
          </w:p>
        </w:tc>
        <w:tc>
          <w:tcPr>
            <w:tcW w:w="855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一、施工期环境保护措施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1、大气污染防治措施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使用的水泥和其他细颗粒散装原料，应贮存于库房内或密闭存放，避免露天堆放。及时清扫施工道路，洒水降尘，碾压或覆盖裸露地表。避免大风天大面积开挖扰动地表施工，实时洒水降尘，冲洗进出车辆、采取密闭运输。加强临时堆土、堆料的挡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2、水污染防治措施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井下和地面施工废水，经矿井涌水处理设施处理后，回用于洒水降尘、机修车间等，剩余水量经过处理后达标排放至碗厂沟。生活废水处理可依托原工业场地的废水处理设施处理达标后回用。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3、噪声污染防治措施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加强施工机械的维护和保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4、固体废物防治措施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施工期巷道掘进产生的矸石全部外售砖厂制砖利用；建筑垃圾除部分回收利用或外售收购站；生活垃圾集中收集后，定期交当地环卫部门清运处置。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5、生态环境保护措施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严格控制施工范围，减少土地占用；合理安排施工工期，优化施工方案，设临时沉砂池和挡土墙等防护措施，减轻水土流失。施工结束后，及时进行绿化恢复，降低生态环境影响。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二、运营期环境保护措施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1、大气污染防治措施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易家沟煤矿属低瓦斯煤矿井，井下采取强制通风、洒水降尘的措施简单、有效，井下废气排放满足《煤炭工业污染物排放标准》要求。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厂区原煤堆场、排矸场、转运点等各无组织污染源通过采取堆场封闭、喷雾洒水降尘等方式予以控制；场内道路通过硬化、道路一侧安装喷雾洒水装置、进出口建设车辆冲洗台等措施控制；同时加强运营期间的管理，及时清扫路面粉尘，减少无组织扬尘的产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2、水污染防治措施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工业场地周围设置截排水沟。井下涌水经井下水仓收集预沉后，排入工业广场的“隔油+混凝沉淀+锰砂过滤+消毒”处理系统处理后部分回用于井上、井下生产、防尘用水，其余部分达到《地表水环境质量标准》（GB3838-2002）Ⅲ类标准、含盐量不超过1000毫克/L的要求后经小河沟达标排入铜钵河，并在排水口安装在线监控设备。生活污水经“化粪池+A/O+消毒”处理后回用于生产防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3、固体废物防治措施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矸石全部外售综合利用；涌水沉淀池底的煤泥浓缩+压滤干化后掺入原煤外售，措施可行；生活垃圾、污水处理站污泥由当地环卫部门定期清运处理，措施可行；废坑木收集外售至木材厂，措施可行；机修废金属收集外售至废品回收站，措施可行；机修废矿物油、废油桶、废含油抹布及棉纱手套、废蓄电池、废油脂暂存于危废暂存间，定期交有资质单位处理，措施可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4、噪声污染防治措施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工业场地结合地形分区布置生产系统和生活设施，新增设备尽量选用低噪设备；将风机等置于室内，水泵设减振措施，合理安排高噪声设备运行时间，绿化带重点布置在粉尘、噪声较大的建筑物及工业场地四周，以利于吸声、降尘，措施切实可行。矿井通风机采用机房隔、吸声、风道消声措施，确保场界达标排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5、地下水污染防治措施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按照“源头控制、分区防治、污染监控、应急响应”相结合的原则，将修理车间、危废暂存间、矿井涌水处理站、储油间设置为重点防渗区，并采取相应防渗措施。通过布设地下水跟踪监测点，对矿区范围内地下水水位与水质进行动态监测，一旦发现水位和水质异常，应立刻采取有效措施，避免对周边居民生产、生活用水造成影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6、生态环境保护措施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合理进行采矿布置，精心组织管理，在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员职工的监管力度，防止对爬行动物、两栖动物的捕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7、土壤环境保护措施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工业场地矿井水处理站、生活污水处理站、机修车间、危废暂存间、储油间等采取分区防渗。报告书预测，正常状况下，工业场地对土壤环境质量影响较小。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8、地表沉陷治理和生态保护措施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地表沉陷影响主要表现为地表裂缝、沉陷。通过预测，项目地表沉陷对井田范围内永久基本农田、公益林无影响，不会对周边农业生态环境造成影响，不会使整个评价区植物群落的种类组成发生明显变化，也不会造成植物种的消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采煤过程中将实施“边破坏、边治理、边利用”的生态综合恢复措施，对地表裂缝充填、采煤塌陷区进行治理、土地复垦等，在采取上述措施后，项目实施对评价范围内土地利用类型影响较小。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三、环境风险防控措施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本项目可能产生的环境风险有：危险废物暂存间内油类物质泄漏、矿井涌水处理设施非正常工况下或事故排放及临时矸石堆场溃坝的环境风险。采取的主要防范措施：危废暂存间、储油间、机修车间、矿井涌水处理站地面采取重点防渗处理。按照《一般工业固体废物贮存和填埋污染控制标准》(GB18599-2020)相关相求建设临时矸石堆场。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四、公众参与情况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项目进行了两次网络公示、两次报纸公示及现场张贴公示以及一次报批前公示，均未收到反对意见。统计结果表明，无反对意见。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五、其他部门意见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1、四川省应急管理厅《关于同意达州博瑞实业有限公司易家沟煤矿三号井扩建工程项目核准的函》（川应急审批〔2022〕131号）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2、四川省应急管理厅《关于同意达州博瑞实业有限公司易家沟煤矿三号井扩建工程初步设计的函》（川应急审批〔2022〕143号）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3、国家矿山安全监察局四川局《关于达州市博瑞实业有限公司易家沟煤矿三号井扩建项目安全审核意见的函》（矿安川函〔2021〕30号）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4、四川省应急管理厅《关于达州博瑞实业有限公司易家沟煤矿三号井扩建工程安全设施设计审查的批复》（川应急审批(2022) 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微软雅黑" w:hAnsi="微软雅黑" w:eastAsia="微软雅黑" w:cs="微软雅黑"/>
                <w:b/>
                <w:i w:val="0"/>
                <w:color w:val="333333"/>
                <w:sz w:val="22"/>
                <w:szCs w:val="22"/>
                <w:u w:val="none"/>
                <w:lang w:val="en-US" w:eastAsia="zh-CN"/>
              </w:rPr>
            </w:pPr>
            <w:r>
              <w:rPr>
                <w:rFonts w:hint="eastAsia" w:ascii="微软雅黑" w:hAnsi="微软雅黑" w:eastAsia="微软雅黑" w:cs="微软雅黑"/>
                <w:b/>
                <w:i w:val="0"/>
                <w:color w:val="333333"/>
                <w:sz w:val="22"/>
                <w:szCs w:val="22"/>
                <w:u w:val="none"/>
                <w:lang w:val="en-US" w:eastAsia="zh-CN"/>
              </w:rPr>
              <w:t>3</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达州市通川区杨家沟煤矿扩建工程</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达州市通川区双龙镇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达州市通川区杨家沟煤业有限公司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pPr>
            <w:r>
              <w:rPr>
                <w:rFonts w:hint="default" w:ascii="仿宋" w:hAnsi="仿宋" w:eastAsia="仿宋" w:cs="仿宋"/>
                <w:i w:val="0"/>
                <w:color w:val="000000" w:themeColor="text1"/>
                <w:kern w:val="0"/>
                <w:sz w:val="22"/>
                <w:szCs w:val="22"/>
                <w:u w:val="none"/>
                <w:lang w:val="en-US" w:eastAsia="zh-CN" w:bidi="ar"/>
                <w14:textFill>
                  <w14:solidFill>
                    <w14:schemeClr w14:val="tx1"/>
                  </w14:solidFill>
                </w14:textFill>
              </w:rPr>
              <w:t>四川恒延科技咨询有限公司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t>项目为扩建工程，采矿规模由21万吨/年扩建为30万吨/年，矿区面积为5.076平方公里，设计可采储量342.01万吨，批准开采K21、K14、K12、K10煤层，准采标高西翼+810m~±0m，东翼+610m~+150m，矿井服务年限为8.8年，矿井属低瓦斯矿井。工程扩建后采用平硐-暗斜井开拓方式，矿区共划分2个水平开采（+300m水平、西翼+130m水平）、6个采区。采煤工作面开采工艺均改造为综合机械化采煤工艺。本项目不新增占地，将原+390m排矸平硐改为主平硐、原+432m主平硐改为回风平硐、原+579m平硐封硐进行生态修复、改建+451m进风平硐。在+390m主平硐工业场地新建综采设备间，改扩建储煤场、煤矸石转运场、生活污水处理站、矿井涌水处理站和危废暂存间等工程，在+432m工业场地新建瓦斯抽放站、风机房等工程，同时对不能满足扩建后生产规模的巷道进行扩刷或新建，利用原有工业场地办公楼地面生产生活附属设施。项目总投资4742.12万元，其中环保投资373.0万元。</w:t>
            </w:r>
          </w:p>
        </w:tc>
        <w:tc>
          <w:tcPr>
            <w:tcW w:w="855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一、施工期环境保护措施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1、大气污染防治措施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施工产生的大气污染物主要为扬尘和井下开拓废气。对场地进行定期洒水，运输通道及时清扫冲洗，冲洗进出车辆，采取密闭运输，对临时堆放材料用棚布覆盖。在爆破结束后立即对爆破区域进行洒水降尘。加强对运输及施工车辆的监管，采用合格的油品，确保尾气达标排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2、水污染防治措施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施工清洗废水经沉沙池沉淀后全部循环利用，含油污水经隔油沉淀处理后，全部循环利用。生活污水依托现有化粪池收集生活污水，用于周边农用地做农肥使用不排放。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3、噪声污染防治措施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4、固体废物防治措施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施工期巷道掘进产生的白矸尽量回填采空区，黑矸外售通川区石门同兴矸砖厂作为制砖原料。建筑垃圾尽可能的回收利用，剩余部分运往建筑垃圾堆放场。施工中产生的弃方用于工业场地低洼处回填。生活垃圾集中收集后，定期交当地环卫部门清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5、生态环境保护措施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开展野生动植物保护措施方面的宣传培训，加强对施工人员的教育，提高其环保意识。项目建设时进行合理的施工布置，严格控制临时用地规模，严禁占用和破坏规划范围以外的土地；优化施工方案，开挖的土石方用于施工场地内的地面平整及填洼，减少废弃土石方的临时堆放；各种临时占地在基建工程完成后尽快进行土地的整治；施工营地和临时堆料场等施工临时用地在施工结束对场地各种生活、生产垃圾、废料进行清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二、运营期环境保护措施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1、大气污染防治措施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井下扬尘采取洒水抑尘和风机排尘，对输送皮带进行全封闭。储煤场、煤矸石转运场采用顶部遮盖+三面围挡封闭的半封闭式的钢架结构彩钢棚，并在储煤场、矸石临时堆场的敞开位置、煤矸石翻车区、各煤流、煤矸石的转运点加设防尘网和防尘水雾喷洒系统等措施降低粉尘。在厂区进出口设置1套车辆冲洗平台对进出车辆进行冲洗通过集气罩和布袋除尘器对木工粉尘进行收集处理。建立瓦斯抽采系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2、水污染防治措施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矿井涌水：新建一座规模为200立方米/h的矿井涌水处理站，处理工艺为“隔油+预沉调节+曝气+混凝沉淀+斜板沉淀+锰砂过滤+活性炭吸附+消毒”，矿井涌水经处理达到《地表水环境质量标准》（GB3838-2002）Ⅲ类标准以及含盐量小于1000毫克/升后回用于地面防尘用水、井下防尘洒水、井下消防用水等，多余部分排入柏林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生活污水：新建一座规模为1 立方米的隔油沉淀池和10立方米/h的生活污水处理站，处理工艺为“预处理+调节+A２O+二沉池+消毒”，生活污水经处理达到《城市污水再利用 城市杂用水水质》（GB/T18920-2020）相关要求后回用于地面防尘用水、路面洒水、绿化用水等，不外排。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机修车间废水隔油沉淀处理后排入生活污水处理站处理。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车辆冲洗废水经隔油沉淀池处理后回用于车辆清洗工序，不外排。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3、噪声污染防治措施。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合理布局工业场地，选用低噪声设备，同时对各类设备设置减振基础；通风机安装减振器，风道安装消声器；泵类、压风机等高噪声设备置于室内，利用建筑物隔声；提升机房设隔声控制室，对主机、电机安装隔声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4、固体废物防治措施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生活污水处理站污泥干化后交由当地环卫部门统一处置，矿井涌水处理站煤泥和原煤一起外售由乡镇环卫部门清运处置，废金属、废零件外售资源回收站，废蓄电池、废矿灯交由厂家回收，煤矸石出井后由运输车辆直接转运至通川区石门同兴干砖厂作为制砖原料和燃料，含油手套、抹布、废机油暂存于危废间，定期交有资质单位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5、地下水污染防治措施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按照“源头控制、分区防治、污染监控、应急响应”相结合的原则，将矿井涌水处理站、危废暂存间、储油间等列为重点防渗采取相应防渗措施。通过布设地下水跟踪监测点，对矿区范围内地下水水位与水质进行动态监测，一旦发现水位和水质异常，应立刻采取有效措施，避免对周边居民生产、生活用水造成影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6、生态环境保护措施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合理进行采矿布置，精心组织管理，在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员职工的监管力度，防止对爬行动物、两栖动物的捕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三、环境风险防控措施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本项目可能产生的环境风险有：危险废物暂存间、储油间内油类物质泄漏、矿井涌水处理设施非正常工况下或事故排放及临时矸石堆场溃坝、淋溶水下渗的环境风险。采取的主要防范措施：危废暂存间、储油间地面采取重点防渗处理。设置井下水仓，用于暂存突增矿井涌水。按照相关要求建设临时矸石堆场，并在矸石场上游设截排水沟，运营期保证截排水沟畅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四、公众参与情况</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项目进行了三次网络公示、两次报纸公示及现场张贴公示以及一次报批前公示，均未收到反对意见。</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五、其他部门意见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四川省发展和改革委员会关于通川区煤炭矿区总体规划的批复（川发改能源〔2022〕434号）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2、省化解办《关于达州市通川区杨家沟煤业有限公司杨家沟煤矿产能置换方案的批复》（川煤化解办函〔2021〕21号）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D0E8E"/>
    <w:multiLevelType w:val="singleLevel"/>
    <w:tmpl w:val="7F7D0E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43907"/>
    <w:rsid w:val="6BFF0B7A"/>
    <w:rsid w:val="79EF4311"/>
    <w:rsid w:val="7FDFAC1E"/>
    <w:rsid w:val="7FFF05E2"/>
    <w:rsid w:val="B7D43907"/>
    <w:rsid w:val="EFFE3394"/>
    <w:rsid w:val="F7DF682D"/>
    <w:rsid w:val="FEEFA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2022-10-15T00:51:00Z</dcterms:created>
  <dc:creator>user</dc:creator>
  <cp:lastModifiedBy>user</cp:lastModifiedBy>
  <dcterms:modified xsi:type="dcterms:W3CDTF">2022-10-14T17:24:50Z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