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683" w:rsidRDefault="00D22683">
      <w:pPr>
        <w:pStyle w:val="ab"/>
        <w:widowControl/>
        <w:spacing w:before="0" w:beforeAutospacing="0" w:after="0" w:afterAutospacing="0" w:line="315" w:lineRule="atLeast"/>
        <w:ind w:firstLineChars="200" w:firstLine="640"/>
        <w:rPr>
          <w:rFonts w:eastAsia="方正仿宋简体"/>
          <w:color w:val="2A2A2A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page" w:tblpX="1936" w:tblpY="2455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00"/>
        <w:gridCol w:w="716"/>
        <w:gridCol w:w="717"/>
        <w:gridCol w:w="646"/>
        <w:gridCol w:w="2268"/>
        <w:gridCol w:w="8080"/>
      </w:tblGrid>
      <w:tr w:rsidR="00D22683">
        <w:trPr>
          <w:trHeight w:val="9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项目名称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建设地点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建设单位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环境影响评价机构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项目概况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主要环境影响及预防或者减轻</w:t>
            </w:r>
          </w:p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不良环境影响的对策和措施</w:t>
            </w:r>
          </w:p>
        </w:tc>
      </w:tr>
      <w:tr w:rsidR="00D22683">
        <w:trPr>
          <w:trHeight w:val="353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国能华</w:t>
            </w:r>
            <w:proofErr w:type="gramStart"/>
            <w:r>
              <w:rPr>
                <w:rFonts w:ascii="Times New Roman" w:hAnsi="Times New Roman" w:cs="Times New Roman"/>
              </w:rPr>
              <w:t>蓥</w:t>
            </w:r>
            <w:proofErr w:type="gramEnd"/>
            <w:r>
              <w:rPr>
                <w:rFonts w:ascii="Times New Roman" w:hAnsi="Times New Roman" w:cs="Times New Roman"/>
              </w:rPr>
              <w:t>山电厂固体废物协同利用项目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达州市渠县</w:t>
            </w:r>
            <w:proofErr w:type="gramStart"/>
            <w:r>
              <w:rPr>
                <w:rFonts w:ascii="Times New Roman" w:hAnsi="Times New Roman" w:cs="Times New Roman"/>
              </w:rPr>
              <w:t>临巴镇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达州显轩环保</w:t>
            </w:r>
            <w:proofErr w:type="gramEnd"/>
            <w:r>
              <w:rPr>
                <w:rFonts w:ascii="Times New Roman" w:hAnsi="Times New Roman" w:cs="Times New Roman"/>
              </w:rPr>
              <w:t>科技有限公司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四川省环科源科技有限公司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widowControl/>
              <w:spacing w:line="320" w:lineRule="exact"/>
              <w:ind w:firstLineChars="200" w:firstLine="420"/>
            </w:pPr>
            <w:r>
              <w:t>项目为一般固废掺烧项目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建设地点</w:t>
            </w:r>
            <w:r>
              <w:t>位于国能四川华蓥山发电有限公司厂区内，</w:t>
            </w:r>
            <w:proofErr w:type="gramStart"/>
            <w:r>
              <w:t>不</w:t>
            </w:r>
            <w:proofErr w:type="gramEnd"/>
            <w:r>
              <w:t>新增用地。</w:t>
            </w:r>
            <w:r>
              <w:rPr>
                <w:rFonts w:hint="eastAsia"/>
              </w:rPr>
              <w:t>主要建设内容为</w:t>
            </w:r>
            <w:proofErr w:type="gramStart"/>
            <w:r>
              <w:rPr>
                <w:rFonts w:ascii="Times New Roman" w:hAnsi="Times New Roman" w:cs="Times New Roman"/>
              </w:rPr>
              <w:t>依托</w:t>
            </w:r>
            <w:r>
              <w:t>国</w:t>
            </w:r>
            <w:proofErr w:type="gramEnd"/>
            <w:r>
              <w:t>能四川华蓥山发电有限公司</w:t>
            </w:r>
            <w:r>
              <w:rPr>
                <w:rFonts w:ascii="Times New Roman" w:hAnsi="Times New Roman" w:cs="Times New Roman"/>
              </w:rPr>
              <w:t>现有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台</w:t>
            </w:r>
            <w:r>
              <w:rPr>
                <w:rFonts w:ascii="Times New Roman" w:hAnsi="Times New Roman" w:cs="Times New Roman"/>
              </w:rPr>
              <w:t>300MW</w:t>
            </w:r>
            <w:r>
              <w:rPr>
                <w:rFonts w:ascii="Times New Roman" w:hAnsi="Times New Roman" w:cs="Times New Roman"/>
              </w:rPr>
              <w:t>燃煤锅炉机组，</w:t>
            </w:r>
            <w:r>
              <w:t>在锅炉正常运行时段按燃煤量</w:t>
            </w:r>
            <w:r>
              <w:t>7.6%</w:t>
            </w:r>
            <w:r>
              <w:t>的比例掺烧</w:t>
            </w:r>
            <w:r>
              <w:rPr>
                <w:rFonts w:ascii="Times New Roman" w:hAnsi="Times New Roman" w:cs="Times New Roman"/>
              </w:rPr>
              <w:t>一般固废（主要为污泥）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hint="eastAsia"/>
              </w:rPr>
              <w:t>一般</w:t>
            </w:r>
            <w:proofErr w:type="gramStart"/>
            <w:r>
              <w:rPr>
                <w:rFonts w:hint="eastAsia"/>
              </w:rPr>
              <w:t>固废年最大</w:t>
            </w:r>
            <w:proofErr w:type="gramEnd"/>
            <w:r>
              <w:rPr>
                <w:rFonts w:hint="eastAsia"/>
              </w:rPr>
              <w:t>利用量约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万吨，其中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万吨固废含水率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8.0</w:t>
            </w:r>
            <w:r>
              <w:rPr>
                <w:rFonts w:hint="eastAsia"/>
              </w:rPr>
              <w:t>万吨固废含水率≤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项目主要接收达州市</w:t>
            </w:r>
            <w:proofErr w:type="gramStart"/>
            <w:r>
              <w:rPr>
                <w:rFonts w:hint="eastAsia"/>
              </w:rPr>
              <w:t>市</w:t>
            </w:r>
            <w:proofErr w:type="gramEnd"/>
            <w:r>
              <w:rPr>
                <w:rFonts w:hint="eastAsia"/>
              </w:rPr>
              <w:t>域范围内的城镇污水处理厂产生的市政污泥，葛洲坝污水</w:t>
            </w:r>
            <w:r>
              <w:rPr>
                <w:rFonts w:hint="eastAsia"/>
              </w:rPr>
              <w:lastRenderedPageBreak/>
              <w:t>处理厂、渠县工业园污水处理厂、魏兴镇污水处理厂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家工业污水处理厂污泥（属性为一般工业固体废物），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家酿酒、造纸行业污泥代表性企业及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家印染企业污泥，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家中药残渣代表性企业中药残渣。未来满足项目入场要求的其它工业污水厂污泥、造纸污泥和印染污泥满足环</w:t>
            </w:r>
            <w:proofErr w:type="gramStart"/>
            <w:r>
              <w:rPr>
                <w:rFonts w:hint="eastAsia"/>
              </w:rPr>
              <w:t>评提出</w:t>
            </w:r>
            <w:proofErr w:type="gramEnd"/>
            <w:r>
              <w:rPr>
                <w:rFonts w:hint="eastAsia"/>
              </w:rPr>
              <w:t>条件并报其属地生态环境局备案同意后方可入炉焚烧处置。</w:t>
            </w:r>
          </w:p>
          <w:p w:rsidR="00D22683" w:rsidRDefault="00ED01F6">
            <w:pPr>
              <w:widowControl/>
              <w:spacing w:line="32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项目充分利用现有厂区已建成公辅设施、现有燃煤锅炉机组，不增加锅炉与发电机组数量，不改变现有锅炉的产能，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新增人员，不改变现有工程运行模式。项目</w:t>
            </w:r>
            <w:r>
              <w:rPr>
                <w:rFonts w:ascii="Times New Roman" w:hAnsi="Times New Roman" w:cs="Times New Roman"/>
              </w:rPr>
              <w:t>新建一套</w:t>
            </w:r>
            <w:r>
              <w:rPr>
                <w:rFonts w:hint="eastAsia"/>
              </w:rPr>
              <w:t>一般</w:t>
            </w:r>
            <w:proofErr w:type="gramStart"/>
            <w:r>
              <w:rPr>
                <w:rFonts w:hint="eastAsia"/>
              </w:rPr>
              <w:t>固废上料及</w:t>
            </w:r>
            <w:proofErr w:type="gramEnd"/>
            <w:r>
              <w:rPr>
                <w:rFonts w:hint="eastAsia"/>
              </w:rPr>
              <w:t>给料</w:t>
            </w:r>
            <w:r>
              <w:rPr>
                <w:rFonts w:hint="eastAsia"/>
              </w:rPr>
              <w:lastRenderedPageBreak/>
              <w:t>系统、</w:t>
            </w:r>
            <w:r>
              <w:rPr>
                <w:rFonts w:ascii="Times New Roman" w:hAnsi="Times New Roman" w:cs="Times New Roman"/>
              </w:rPr>
              <w:t>应急一般固废暂存池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D22683" w:rsidRDefault="00ED01F6">
            <w:pPr>
              <w:widowControl/>
              <w:spacing w:line="320" w:lineRule="exact"/>
              <w:ind w:firstLineChars="200" w:firstLine="420"/>
            </w:pPr>
            <w:r>
              <w:rPr>
                <w:rFonts w:ascii="Times New Roman" w:eastAsiaTheme="minorEastAsia" w:hAnsi="Times New Roman" w:cs="Times New Roman"/>
                <w:szCs w:val="21"/>
                <w:lang w:val="zh-CN"/>
              </w:rPr>
              <w:t>项目总投资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500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万元</w:t>
            </w:r>
            <w:r>
              <w:rPr>
                <w:rFonts w:ascii="Times New Roman" w:eastAsiaTheme="minorEastAsia" w:hAnsi="Times New Roman" w:cs="Times New Roman"/>
                <w:szCs w:val="21"/>
                <w:lang w:val="zh-CN"/>
              </w:rPr>
              <w:t>，其中环保投资</w:t>
            </w:r>
            <w:r>
              <w:rPr>
                <w:rFonts w:eastAsiaTheme="minorEastAsia" w:cs="Times New Roman" w:hint="eastAsia"/>
                <w:szCs w:val="21"/>
              </w:rPr>
              <w:t>50</w:t>
            </w:r>
            <w:r>
              <w:rPr>
                <w:rFonts w:ascii="Times New Roman" w:eastAsiaTheme="minorEastAsia" w:hAnsi="Times New Roman" w:cs="Times New Roman"/>
                <w:szCs w:val="21"/>
                <w:lang w:val="zh-CN"/>
              </w:rPr>
              <w:t>万元，占总投资的</w:t>
            </w:r>
            <w:r>
              <w:rPr>
                <w:rFonts w:eastAsiaTheme="minorEastAsia" w:cs="Times New Roman" w:hint="eastAsia"/>
                <w:szCs w:val="21"/>
              </w:rPr>
              <w:t>10</w:t>
            </w:r>
            <w:r>
              <w:rPr>
                <w:rFonts w:ascii="Times New Roman" w:eastAsiaTheme="minorEastAsia" w:hAnsi="Times New Roman" w:cs="Times New Roman"/>
                <w:szCs w:val="21"/>
                <w:lang w:val="zh-CN"/>
              </w:rPr>
              <w:t>%</w:t>
            </w:r>
            <w:r>
              <w:rPr>
                <w:rFonts w:ascii="Times New Roman" w:eastAsiaTheme="minorEastAsia" w:hAnsi="Times New Roman" w:cs="Times New Roman"/>
                <w:szCs w:val="21"/>
                <w:lang w:val="zh-CN"/>
              </w:rPr>
              <w:t>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683" w:rsidRDefault="00ED01F6">
            <w:pPr>
              <w:widowControl/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一、施工期环境保护措施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施工扬尘采取定期洒水并安装防尘网、及时清除路面尘土、硬化运输道路等措施，确保满足《四川省施工场地扬尘排放标准》（</w:t>
            </w:r>
            <w:r>
              <w:rPr>
                <w:rFonts w:ascii="Times New Roman" w:hAnsi="Times New Roman" w:cs="Times New Roman"/>
              </w:rPr>
              <w:t>DB 51/2682-2020</w:t>
            </w:r>
            <w:r>
              <w:rPr>
                <w:rFonts w:ascii="Times New Roman" w:hAnsi="Times New Roman" w:cs="Times New Roman"/>
              </w:rPr>
              <w:t>）中限值要求；合理安排施工时间，控制施工噪声，确保噪声</w:t>
            </w:r>
            <w:proofErr w:type="gramStart"/>
            <w:r>
              <w:rPr>
                <w:rFonts w:ascii="Times New Roman" w:hAnsi="Times New Roman" w:cs="Times New Roman"/>
              </w:rPr>
              <w:t>不</w:t>
            </w:r>
            <w:proofErr w:type="gramEnd"/>
            <w:r>
              <w:rPr>
                <w:rFonts w:ascii="Times New Roman" w:hAnsi="Times New Roman" w:cs="Times New Roman"/>
              </w:rPr>
              <w:t>扰民；建筑弃</w:t>
            </w:r>
            <w:proofErr w:type="gramStart"/>
            <w:r>
              <w:rPr>
                <w:rFonts w:ascii="Times New Roman" w:hAnsi="Times New Roman" w:cs="Times New Roman"/>
              </w:rPr>
              <w:t>碴及时</w:t>
            </w:r>
            <w:proofErr w:type="gramEnd"/>
            <w:r>
              <w:rPr>
                <w:rFonts w:ascii="Times New Roman" w:hAnsi="Times New Roman" w:cs="Times New Roman"/>
              </w:rPr>
              <w:t>清运至环卫部</w:t>
            </w:r>
            <w:r>
              <w:rPr>
                <w:rFonts w:ascii="Times New Roman" w:hAnsi="Times New Roman" w:cs="Times New Roman"/>
              </w:rPr>
              <w:t>门指定堆放场地，</w:t>
            </w:r>
            <w:proofErr w:type="gramStart"/>
            <w:r>
              <w:rPr>
                <w:rFonts w:ascii="Times New Roman" w:hAnsi="Times New Roman" w:cs="Times New Roman"/>
              </w:rPr>
              <w:t>临时堆方避开</w:t>
            </w:r>
            <w:proofErr w:type="gramEnd"/>
            <w:r>
              <w:rPr>
                <w:rFonts w:ascii="Times New Roman" w:hAnsi="Times New Roman" w:cs="Times New Roman"/>
              </w:rPr>
              <w:t>沟渠并遮盖堆置；施工废水沉淀后回用；生活废水依托现有电厂厂区生活污水处理措施处理。</w:t>
            </w:r>
          </w:p>
          <w:p w:rsidR="00D22683" w:rsidRDefault="00ED01F6">
            <w:pPr>
              <w:widowControl/>
              <w:snapToGrid w:val="0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二、运营期环境保护措施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、废气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锅炉废气依托现有烟气治理设施采用“低氮燃烧</w:t>
            </w:r>
            <w:r>
              <w:rPr>
                <w:rFonts w:ascii="Times New Roman" w:hAnsi="Times New Roman" w:cs="Times New Roman" w:hint="eastAsia"/>
              </w:rPr>
              <w:t>+SCR</w:t>
            </w:r>
            <w:r>
              <w:rPr>
                <w:rFonts w:ascii="Times New Roman" w:hAnsi="Times New Roman" w:cs="Times New Roman" w:hint="eastAsia"/>
              </w:rPr>
              <w:t>脱硝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静电除尘器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石灰石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石膏法脱硫”系统处理达标后经</w:t>
            </w:r>
            <w:r>
              <w:rPr>
                <w:rFonts w:ascii="Times New Roman" w:hAnsi="Times New Roman" w:cs="Times New Roman" w:hint="eastAsia"/>
              </w:rPr>
              <w:t>210m</w:t>
            </w:r>
            <w:r>
              <w:rPr>
                <w:rFonts w:ascii="Times New Roman" w:hAnsi="Times New Roman" w:cs="Times New Roman" w:hint="eastAsia"/>
              </w:rPr>
              <w:t>烟囱排放。颗粒物、</w:t>
            </w:r>
            <w:r>
              <w:rPr>
                <w:rFonts w:ascii="Times New Roman" w:hAnsi="Times New Roman" w:cs="Times New Roman" w:hint="eastAsia"/>
              </w:rPr>
              <w:t>SO</w:t>
            </w:r>
            <w:r>
              <w:rPr>
                <w:rFonts w:ascii="Times New Roman" w:hAnsi="Times New Roman" w:cs="Times New Roman" w:hint="eastAsia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NO</w:t>
            </w:r>
            <w:r>
              <w:rPr>
                <w:rFonts w:ascii="Times New Roman" w:hAnsi="Times New Roman" w:cs="Times New Roman" w:hint="eastAsia"/>
                <w:vertAlign w:val="subscript"/>
              </w:rPr>
              <w:t>X</w:t>
            </w:r>
            <w:r>
              <w:rPr>
                <w:rFonts w:ascii="Times New Roman" w:hAnsi="Times New Roman" w:cs="Times New Roman" w:hint="eastAsia"/>
              </w:rPr>
              <w:t>排放浓度执行超低排放标准；锅炉烟气氨逃逸有组织浓度执行《火电厂污染防治可行技术指南》（</w:t>
            </w:r>
            <w:r>
              <w:rPr>
                <w:rFonts w:ascii="Times New Roman" w:hAnsi="Times New Roman" w:cs="Times New Roman" w:hint="eastAsia"/>
              </w:rPr>
              <w:t>HJ2301-2017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8mg/m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</w:rPr>
              <w:t>限值；</w:t>
            </w:r>
            <w:proofErr w:type="spellStart"/>
            <w:r>
              <w:rPr>
                <w:rFonts w:ascii="Times New Roman" w:hAnsi="Times New Roman" w:cs="Times New Roman" w:hint="eastAsia"/>
              </w:rPr>
              <w:t>HC</w:t>
            </w:r>
            <w:r>
              <w:rPr>
                <w:rFonts w:ascii="Times New Roman" w:hAnsi="Times New Roman" w:cs="Times New Roman" w:hint="eastAsia"/>
              </w:rPr>
              <w:t>l</w:t>
            </w:r>
            <w:proofErr w:type="spellEnd"/>
            <w:r>
              <w:rPr>
                <w:rFonts w:ascii="Times New Roman" w:hAnsi="Times New Roman" w:cs="Times New Roman" w:hint="eastAsia"/>
              </w:rPr>
              <w:t>、镉</w:t>
            </w:r>
            <w:proofErr w:type="gramStart"/>
            <w:r>
              <w:rPr>
                <w:rFonts w:ascii="Times New Roman" w:hAnsi="Times New Roman" w:cs="Times New Roman" w:hint="eastAsia"/>
              </w:rPr>
              <w:t>铊及其</w:t>
            </w:r>
            <w:proofErr w:type="gramEnd"/>
            <w:r>
              <w:rPr>
                <w:rFonts w:ascii="Times New Roman" w:hAnsi="Times New Roman" w:cs="Times New Roman" w:hint="eastAsia"/>
              </w:rPr>
              <w:t>化合物、锑、砷、铅、铬、钴、铜、锰、</w:t>
            </w:r>
            <w:proofErr w:type="gramStart"/>
            <w:r>
              <w:rPr>
                <w:rFonts w:ascii="Times New Roman" w:hAnsi="Times New Roman" w:cs="Times New Roman" w:hint="eastAsia"/>
              </w:rPr>
              <w:t>镍及其</w:t>
            </w:r>
            <w:proofErr w:type="gramEnd"/>
            <w:r>
              <w:rPr>
                <w:rFonts w:ascii="Times New Roman" w:hAnsi="Times New Roman" w:cs="Times New Roman" w:hint="eastAsia"/>
              </w:rPr>
              <w:t>化合物、二噁</w:t>
            </w:r>
            <w:proofErr w:type="gramStart"/>
            <w:r>
              <w:rPr>
                <w:rFonts w:ascii="Times New Roman" w:hAnsi="Times New Roman" w:cs="Times New Roman" w:hint="eastAsia"/>
              </w:rPr>
              <w:t>英执行</w:t>
            </w:r>
            <w:proofErr w:type="gramEnd"/>
            <w:r>
              <w:rPr>
                <w:rFonts w:ascii="Times New Roman" w:hAnsi="Times New Roman" w:cs="Times New Roman" w:hint="eastAsia"/>
              </w:rPr>
              <w:t>《生活垃圾焚烧污染控制标准》（</w:t>
            </w:r>
            <w:r>
              <w:rPr>
                <w:rFonts w:ascii="Times New Roman" w:hAnsi="Times New Roman" w:cs="Times New Roman" w:hint="eastAsia"/>
              </w:rPr>
              <w:t>GB18485-2014</w:t>
            </w:r>
            <w:r>
              <w:rPr>
                <w:rFonts w:ascii="Times New Roman" w:hAnsi="Times New Roman" w:cs="Times New Roman" w:hint="eastAsia"/>
              </w:rPr>
              <w:t>）表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中排放限值，汞及其化合物、烟气黑度排放执行《火电厂大气污染物排放标准》（</w:t>
            </w:r>
            <w:r>
              <w:rPr>
                <w:rFonts w:ascii="Times New Roman" w:hAnsi="Times New Roman" w:cs="Times New Roman" w:hint="eastAsia"/>
              </w:rPr>
              <w:t>GB13223-2011</w:t>
            </w:r>
            <w:r>
              <w:rPr>
                <w:rFonts w:ascii="Times New Roman" w:hAnsi="Times New Roman" w:cs="Times New Roman" w:hint="eastAsia"/>
              </w:rPr>
              <w:t>）表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中规定限值，氟化物执行《大</w:t>
            </w:r>
            <w:r>
              <w:rPr>
                <w:rFonts w:ascii="Times New Roman" w:hAnsi="Times New Roman" w:cs="Times New Roman" w:hint="eastAsia"/>
              </w:rPr>
              <w:t>气污染物综合排放标准》（</w:t>
            </w:r>
            <w:r>
              <w:rPr>
                <w:rFonts w:ascii="Times New Roman" w:hAnsi="Times New Roman" w:cs="Times New Roman" w:hint="eastAsia"/>
              </w:rPr>
              <w:t>GB16297-1996</w:t>
            </w:r>
            <w:r>
              <w:rPr>
                <w:rFonts w:ascii="Times New Roman" w:hAnsi="Times New Roman" w:cs="Times New Roman" w:hint="eastAsia"/>
              </w:rPr>
              <w:t>）中二级排放限值。</w:t>
            </w:r>
          </w:p>
          <w:p w:rsidR="00D22683" w:rsidRDefault="00ED01F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一般固废封闭转运区恶臭废气</w:t>
            </w:r>
            <w:r>
              <w:rPr>
                <w:rFonts w:ascii="Times New Roman" w:hAnsi="Times New Roman" w:cs="Times New Roman"/>
              </w:rPr>
              <w:t>采用</w:t>
            </w:r>
            <w:r>
              <w:rPr>
                <w:rFonts w:ascii="Times New Roman" w:hAnsi="Times New Roman" w:cs="Times New Roman" w:hint="eastAsia"/>
              </w:rPr>
              <w:t>“</w:t>
            </w:r>
            <w:r>
              <w:rPr>
                <w:rFonts w:ascii="Times New Roman" w:hAnsi="Times New Roman" w:cs="Times New Roman"/>
              </w:rPr>
              <w:t>微负压收集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/>
              </w:rPr>
              <w:t>二级活性炭吸附</w:t>
            </w:r>
            <w:r>
              <w:rPr>
                <w:rFonts w:ascii="Times New Roman" w:hAnsi="Times New Roman" w:cs="Times New Roman" w:hint="eastAsia"/>
              </w:rPr>
              <w:t>”</w:t>
            </w:r>
            <w:r>
              <w:rPr>
                <w:rFonts w:ascii="Times New Roman" w:hAnsi="Times New Roman" w:cs="Times New Roman"/>
              </w:rPr>
              <w:t>处理</w:t>
            </w:r>
            <w:r>
              <w:rPr>
                <w:rFonts w:ascii="Times New Roman" w:hAnsi="Times New Roman" w:cs="Times New Roman" w:hint="eastAsia"/>
              </w:rPr>
              <w:t>，达《恶臭污染物排放标准》（</w:t>
            </w:r>
            <w:r>
              <w:rPr>
                <w:rFonts w:ascii="Times New Roman" w:hAnsi="Times New Roman" w:cs="Times New Roman" w:hint="eastAsia"/>
              </w:rPr>
              <w:t>GB14554-93</w:t>
            </w:r>
            <w:r>
              <w:rPr>
                <w:rFonts w:ascii="Times New Roman" w:hAnsi="Times New Roman" w:cs="Times New Roman" w:hint="eastAsia"/>
              </w:rPr>
              <w:t>）中排放限值后</w:t>
            </w:r>
            <w:r>
              <w:rPr>
                <w:rFonts w:ascii="Times New Roman" w:hAnsi="Times New Roman" w:cs="Times New Roman"/>
              </w:rPr>
              <w:t>经</w:t>
            </w:r>
            <w:r>
              <w:rPr>
                <w:rFonts w:ascii="Times New Roman" w:hAnsi="Times New Roman" w:cs="Times New Roman"/>
              </w:rPr>
              <w:t>15m</w:t>
            </w:r>
            <w:r>
              <w:rPr>
                <w:rFonts w:ascii="Times New Roman" w:hAnsi="Times New Roman" w:cs="Times New Roman"/>
              </w:rPr>
              <w:t>高排气筒排放</w:t>
            </w:r>
            <w:r>
              <w:rPr>
                <w:rFonts w:ascii="Times New Roman" w:hAnsi="Times New Roman" w:cs="Times New Roman" w:hint="eastAsia"/>
              </w:rPr>
              <w:t>；</w:t>
            </w:r>
            <w:proofErr w:type="gramStart"/>
            <w:r>
              <w:rPr>
                <w:rFonts w:ascii="Times New Roman" w:hAnsi="Times New Roman" w:cs="Times New Roman" w:hint="eastAsia"/>
              </w:rPr>
              <w:t>石灰石粉库粉尘</w:t>
            </w:r>
            <w:proofErr w:type="gramEnd"/>
            <w:r>
              <w:rPr>
                <w:rFonts w:ascii="Times New Roman" w:hAnsi="Times New Roman" w:cs="Times New Roman" w:hint="eastAsia"/>
              </w:rPr>
              <w:t>、灰库</w:t>
            </w:r>
            <w:proofErr w:type="gramStart"/>
            <w:r>
              <w:rPr>
                <w:rFonts w:ascii="Times New Roman" w:hAnsi="Times New Roman" w:cs="Times New Roman" w:hint="eastAsia"/>
              </w:rPr>
              <w:t>粉尘粉尘</w:t>
            </w:r>
            <w:proofErr w:type="gramEnd"/>
            <w:r>
              <w:rPr>
                <w:rFonts w:ascii="Times New Roman" w:hAnsi="Times New Roman" w:cs="Times New Roman" w:hint="eastAsia"/>
              </w:rPr>
              <w:t>经库顶除</w:t>
            </w:r>
            <w:r>
              <w:rPr>
                <w:rFonts w:ascii="Times New Roman" w:hAnsi="Times New Roman" w:cs="Times New Roman" w:hint="eastAsia"/>
              </w:rPr>
              <w:t>尘器收集处理后达《大气污染物综合排放标准》（</w:t>
            </w:r>
            <w:r>
              <w:rPr>
                <w:rFonts w:ascii="Times New Roman" w:hAnsi="Times New Roman" w:cs="Times New Roman" w:hint="eastAsia"/>
              </w:rPr>
              <w:t>GB16297-1996</w:t>
            </w:r>
            <w:r>
              <w:rPr>
                <w:rFonts w:ascii="Times New Roman" w:hAnsi="Times New Roman" w:cs="Times New Roman" w:hint="eastAsia"/>
              </w:rPr>
              <w:t>）二级标准后经各自排气筒排放，石灰石</w:t>
            </w:r>
            <w:proofErr w:type="gramStart"/>
            <w:r>
              <w:rPr>
                <w:rFonts w:ascii="Times New Roman" w:hAnsi="Times New Roman" w:cs="Times New Roman" w:hint="eastAsia"/>
              </w:rPr>
              <w:t>粉库排</w:t>
            </w:r>
            <w:proofErr w:type="gramEnd"/>
            <w:r>
              <w:rPr>
                <w:rFonts w:ascii="Times New Roman" w:hAnsi="Times New Roman" w:cs="Times New Roman" w:hint="eastAsia"/>
              </w:rPr>
              <w:t>气筒</w:t>
            </w:r>
            <w:r>
              <w:rPr>
                <w:rFonts w:ascii="Times New Roman" w:hAnsi="Times New Roman" w:cs="Times New Roman" w:hint="eastAsia"/>
              </w:rPr>
              <w:t>15m</w:t>
            </w:r>
            <w:r>
              <w:rPr>
                <w:rFonts w:ascii="Times New Roman" w:hAnsi="Times New Roman" w:cs="Times New Roman" w:hint="eastAsia"/>
              </w:rPr>
              <w:t>高，</w:t>
            </w:r>
            <w:proofErr w:type="gramStart"/>
            <w:r>
              <w:rPr>
                <w:rFonts w:ascii="Times New Roman" w:hAnsi="Times New Roman" w:cs="Times New Roman" w:hint="eastAsia"/>
              </w:rPr>
              <w:t>灰库排</w:t>
            </w:r>
            <w:proofErr w:type="gramEnd"/>
            <w:r>
              <w:rPr>
                <w:rFonts w:ascii="Times New Roman" w:hAnsi="Times New Roman" w:cs="Times New Roman" w:hint="eastAsia"/>
              </w:rPr>
              <w:lastRenderedPageBreak/>
              <w:t>气筒</w:t>
            </w:r>
            <w:r>
              <w:rPr>
                <w:rFonts w:ascii="Times New Roman" w:hAnsi="Times New Roman" w:cs="Times New Roman" w:hint="eastAsia"/>
              </w:rPr>
              <w:t>30m</w:t>
            </w:r>
            <w:r>
              <w:rPr>
                <w:rFonts w:ascii="Times New Roman" w:hAnsi="Times New Roman" w:cs="Times New Roman" w:hint="eastAsia"/>
              </w:rPr>
              <w:t>高。</w:t>
            </w:r>
          </w:p>
          <w:p w:rsidR="00D22683" w:rsidRDefault="00ED01F6">
            <w:pPr>
              <w:ind w:firstLineChars="200" w:firstLine="420"/>
            </w:pPr>
            <w:r>
              <w:rPr>
                <w:rFonts w:ascii="Times New Roman" w:hAnsi="Times New Roman" w:cs="Times New Roman" w:hint="eastAsia"/>
              </w:rPr>
              <w:t>无组织废气主要为污泥</w:t>
            </w:r>
            <w:proofErr w:type="gramStart"/>
            <w:r>
              <w:rPr>
                <w:rFonts w:ascii="Times New Roman" w:hAnsi="Times New Roman" w:cs="Times New Roman" w:hint="eastAsia"/>
              </w:rPr>
              <w:t>转存区</w:t>
            </w:r>
            <w:proofErr w:type="gramEnd"/>
            <w:r>
              <w:rPr>
                <w:rFonts w:ascii="Times New Roman" w:hAnsi="Times New Roman" w:cs="Times New Roman" w:hint="eastAsia"/>
              </w:rPr>
              <w:t>未被捕集到的恶臭气体，通过设置卫生防护距离，加强巡检及管理、加强绿化、定期喷洒除臭剂等措施，确保无组织排放的恶臭气体监控浓度满足《恶臭污染物排放标准》（</w:t>
            </w:r>
            <w:r>
              <w:rPr>
                <w:rFonts w:ascii="Times New Roman" w:hAnsi="Times New Roman" w:cs="Times New Roman" w:hint="eastAsia"/>
              </w:rPr>
              <w:t>GB14554-93</w:t>
            </w:r>
            <w:r>
              <w:rPr>
                <w:rFonts w:ascii="Times New Roman" w:hAnsi="Times New Roman" w:cs="Times New Roman" w:hint="eastAsia"/>
              </w:rPr>
              <w:t>）中新扩改二级厂界达标值限值，无组织粉尘满足《大气污染物综合排放标准》（</w:t>
            </w:r>
            <w:r>
              <w:rPr>
                <w:rFonts w:ascii="Times New Roman" w:hAnsi="Times New Roman" w:cs="Times New Roman" w:hint="eastAsia"/>
              </w:rPr>
              <w:t>GB16297-1996</w:t>
            </w:r>
            <w:r>
              <w:rPr>
                <w:rFonts w:ascii="Times New Roman" w:hAnsi="Times New Roman" w:cs="Times New Roman" w:hint="eastAsia"/>
              </w:rPr>
              <w:t>）无组织排放浓度限值要求。项目以污泥</w:t>
            </w:r>
            <w:proofErr w:type="gramStart"/>
            <w:r>
              <w:rPr>
                <w:rFonts w:ascii="Times New Roman" w:hAnsi="Times New Roman" w:cs="Times New Roman" w:hint="eastAsia"/>
              </w:rPr>
              <w:t>转存区</w:t>
            </w:r>
            <w:proofErr w:type="gramEnd"/>
            <w:r>
              <w:rPr>
                <w:rFonts w:ascii="Times New Roman" w:hAnsi="Times New Roman" w:cs="Times New Roman" w:hint="eastAsia"/>
              </w:rPr>
              <w:t>边界</w:t>
            </w:r>
            <w:r>
              <w:rPr>
                <w:rFonts w:ascii="Times New Roman" w:hAnsi="Times New Roman" w:cs="Times New Roman" w:hint="eastAsia"/>
              </w:rPr>
              <w:t>50m</w:t>
            </w:r>
            <w:r>
              <w:rPr>
                <w:rFonts w:ascii="Times New Roman" w:hAnsi="Times New Roman" w:cs="Times New Roman" w:hint="eastAsia"/>
              </w:rPr>
              <w:t>设置卫生防护距离，该</w:t>
            </w:r>
            <w:r>
              <w:rPr>
                <w:rFonts w:ascii="Times New Roman" w:hAnsi="Times New Roman" w:cs="Times New Roman" w:hint="eastAsia"/>
              </w:rPr>
              <w:t>范围内目前均不涉及居民区、医院、学校等敏感目标，项目运行后，卫生防护距离范围内亦不得设置居民区、学校、医院等环境敏感目标。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、废水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车辆冲洗废水和煤场周围排水沟收集的含泥废水收集至电厂区域</w:t>
            </w:r>
            <w:proofErr w:type="gramStart"/>
            <w:r>
              <w:rPr>
                <w:rFonts w:ascii="Times New Roman" w:hAnsi="Times New Roman" w:cs="Times New Roman" w:hint="eastAsia"/>
              </w:rPr>
              <w:t>预沉池</w:t>
            </w:r>
            <w:proofErr w:type="gramEnd"/>
            <w:r>
              <w:rPr>
                <w:rFonts w:ascii="Times New Roman" w:hAnsi="Times New Roman" w:cs="Times New Roman" w:hint="eastAsia"/>
              </w:rPr>
              <w:t>，再泵入工业废水集中处理站（处理能力</w:t>
            </w:r>
            <w:r>
              <w:rPr>
                <w:rFonts w:ascii="Times New Roman" w:hAnsi="Times New Roman" w:cs="Times New Roman" w:hint="eastAsia"/>
              </w:rPr>
              <w:t>100m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</w:rPr>
              <w:t>/h</w:t>
            </w:r>
            <w:r>
              <w:rPr>
                <w:rFonts w:ascii="Times New Roman" w:hAnsi="Times New Roman" w:cs="Times New Roman" w:hint="eastAsia"/>
              </w:rPr>
              <w:t>）处理，达到《污水综合排放标准》（</w:t>
            </w:r>
            <w:r>
              <w:rPr>
                <w:rFonts w:ascii="Times New Roman" w:hAnsi="Times New Roman" w:cs="Times New Roman" w:hint="eastAsia"/>
              </w:rPr>
              <w:t>GB8978-1996</w:t>
            </w:r>
            <w:r>
              <w:rPr>
                <w:rFonts w:ascii="Times New Roman" w:hAnsi="Times New Roman" w:cs="Times New Roman" w:hint="eastAsia"/>
              </w:rPr>
              <w:t>）中一级标准后进入复用水池，用于除灰系统及煤场喷洒，不外排。车间地面、设备冲洗废水和渗滤液通过转运区内收集沟收集进入污泥池内，随污泥一同进入锅炉焚烧处置，不外排。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、噪声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选用低噪声设备，定期维修保养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优化设备布局，采取消声、减振、建筑隔声</w:t>
            </w:r>
            <w:r>
              <w:rPr>
                <w:rFonts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措施降低噪声污染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利用距离衰减降低噪声排放</w:t>
            </w:r>
            <w:r>
              <w:rPr>
                <w:rFonts w:ascii="Times New Roman" w:hAnsi="Times New Roman" w:cs="Times New Roman"/>
              </w:rPr>
              <w:t>，确保</w:t>
            </w:r>
            <w:r>
              <w:rPr>
                <w:rFonts w:ascii="Times New Roman" w:hAnsi="Times New Roman" w:cs="Times New Roman"/>
              </w:rPr>
              <w:t>厂界噪声满足《工业企业厂界噪声排放标准》（</w:t>
            </w:r>
            <w:r>
              <w:rPr>
                <w:rFonts w:ascii="Times New Roman" w:hAnsi="Times New Roman" w:cs="Times New Roman"/>
              </w:rPr>
              <w:t>GB12348-2008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类标准限值。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、固体废物</w:t>
            </w:r>
          </w:p>
          <w:p w:rsidR="00D22683" w:rsidRDefault="00ED01F6">
            <w:pPr>
              <w:widowControl/>
              <w:adjustRightInd w:val="0"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锅炉底渣、飞灰、脱硫渣等分类暂存于电厂现有灰场后全部外售综合利用。废活性炭经鉴定后分类处置，</w:t>
            </w:r>
            <w:proofErr w:type="gramStart"/>
            <w:r>
              <w:rPr>
                <w:rFonts w:ascii="Times New Roman" w:hAnsi="Times New Roman" w:cs="Times New Roman"/>
              </w:rPr>
              <w:t>若为危废则</w:t>
            </w:r>
            <w:proofErr w:type="gramEnd"/>
            <w:r>
              <w:rPr>
                <w:rFonts w:ascii="Times New Roman" w:hAnsi="Times New Roman" w:cs="Times New Roman"/>
              </w:rPr>
              <w:t>交由有资质单位处置，若为一般固废则交由原厂商回收处置，在鉴定完成前，依托电厂</w:t>
            </w:r>
            <w:proofErr w:type="gramStart"/>
            <w:r>
              <w:rPr>
                <w:rFonts w:ascii="Times New Roman" w:hAnsi="Times New Roman" w:cs="Times New Roman"/>
              </w:rPr>
              <w:t>现有危废</w:t>
            </w:r>
            <w:r>
              <w:rPr>
                <w:rFonts w:ascii="Times New Roman" w:hAnsi="Times New Roman" w:cs="Times New Roman" w:hint="eastAsia"/>
              </w:rPr>
              <w:t>暂存</w:t>
            </w:r>
            <w:proofErr w:type="gramEnd"/>
            <w:r>
              <w:rPr>
                <w:rFonts w:ascii="Times New Roman" w:hAnsi="Times New Roman" w:cs="Times New Roman" w:hint="eastAsia"/>
              </w:rPr>
              <w:t>间</w:t>
            </w:r>
            <w:r>
              <w:rPr>
                <w:rFonts w:ascii="Times New Roman" w:hAnsi="Times New Roman" w:cs="Times New Roman"/>
              </w:rPr>
              <w:t>按照危险废物进行管理及处置。</w:t>
            </w:r>
          </w:p>
          <w:p w:rsidR="00D22683" w:rsidRDefault="00ED01F6">
            <w:pPr>
              <w:widowControl/>
              <w:adjustRightInd w:val="0"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、地下水环境</w:t>
            </w:r>
          </w:p>
          <w:p w:rsidR="00D22683" w:rsidRDefault="00ED01F6">
            <w:pPr>
              <w:ind w:firstLineChars="200" w:firstLine="420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坚持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源头控制、分区防治、污染监控、应急响应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的原则，对可能污染地下水的区域进行防渗处理，对</w:t>
            </w:r>
            <w:r>
              <w:rPr>
                <w:rFonts w:ascii="Times New Roman" w:hAnsi="Times New Roman" w:cs="Times New Roman"/>
              </w:rPr>
              <w:t>一般固废封闭转运区</w:t>
            </w:r>
            <w:r>
              <w:rPr>
                <w:rFonts w:ascii="Times New Roman" w:hAnsi="Times New Roman" w:cs="Times New Roman" w:hint="eastAsia"/>
              </w:rPr>
              <w:t>、污泥应急暂存区</w:t>
            </w:r>
            <w:r>
              <w:rPr>
                <w:rFonts w:ascii="Times New Roman" w:hAnsi="Times New Roman" w:cs="Times New Roman"/>
              </w:rPr>
              <w:t>进行重点防渗处理。按报</w:t>
            </w:r>
            <w:r>
              <w:rPr>
                <w:rFonts w:ascii="Times New Roman" w:hAnsi="Times New Roman" w:cs="Times New Roman"/>
              </w:rPr>
              <w:lastRenderedPageBreak/>
              <w:t>告书要求定期监测项目</w:t>
            </w:r>
            <w:r>
              <w:rPr>
                <w:rFonts w:ascii="Times New Roman" w:hAnsi="Times New Roman" w:cs="Times New Roman"/>
              </w:rPr>
              <w:t>区域</w:t>
            </w:r>
            <w:r>
              <w:rPr>
                <w:rFonts w:ascii="Times New Roman" w:hAnsi="Times New Roman" w:cs="Times New Roman"/>
              </w:rPr>
              <w:t>地下水水质，预防渗漏造成地下水污染。一旦发现水质异常，应及时报告当地生态环境部门，并采取相关应急措施。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三、环境风险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项目存在的主要环境风险为储罐辅料泄漏、污泥泄露、锅炉事故排放</w:t>
            </w:r>
            <w:r>
              <w:rPr>
                <w:rFonts w:ascii="Times New Roman" w:hAnsi="Times New Roman" w:cs="Times New Roman" w:hint="eastAsia"/>
              </w:rPr>
              <w:t>等</w:t>
            </w:r>
            <w:r>
              <w:rPr>
                <w:rFonts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采取的主要环境风险防范措施为：实行安全环保管理制度</w:t>
            </w:r>
            <w:r>
              <w:rPr>
                <w:rFonts w:ascii="Times New Roman" w:hAnsi="Times New Roman" w:cs="Times New Roman" w:hint="eastAsia"/>
              </w:rPr>
              <w:t>，规范并强化风险预防措施，</w:t>
            </w:r>
            <w:r>
              <w:rPr>
                <w:rFonts w:ascii="Times New Roman" w:hAnsi="Times New Roman" w:cs="Times New Roman"/>
              </w:rPr>
              <w:t>落实安全生产责任</w:t>
            </w:r>
            <w:r>
              <w:rPr>
                <w:rFonts w:ascii="Times New Roman" w:hAnsi="Times New Roman" w:cs="Times New Roman" w:hint="eastAsia"/>
              </w:rPr>
              <w:t>；</w:t>
            </w:r>
            <w:r>
              <w:rPr>
                <w:rFonts w:ascii="Times New Roman" w:hAnsi="Times New Roman" w:cs="Times New Roman"/>
              </w:rPr>
              <w:t>落实已制定的环境风险应急预案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定期演练</w:t>
            </w:r>
            <w:r>
              <w:rPr>
                <w:rFonts w:ascii="Times New Roman" w:hAnsi="Times New Roman" w:cs="Times New Roman"/>
              </w:rPr>
              <w:t>并不断优化；严格按照《危险</w:t>
            </w:r>
            <w:r>
              <w:rPr>
                <w:rFonts w:ascii="Times New Roman" w:hAnsi="Times New Roman" w:cs="Times New Roman"/>
              </w:rPr>
              <w:t>化学品安全管理条例》有关要求，加强化学品储、运及使用过程的安全管理；加强环保设施的运行及维护管理，落实围堰、</w:t>
            </w:r>
            <w:r>
              <w:rPr>
                <w:rFonts w:ascii="Times New Roman" w:hAnsi="Times New Roman" w:cs="Times New Roman" w:hint="eastAsia"/>
              </w:rPr>
              <w:t>事故</w:t>
            </w:r>
            <w:r>
              <w:rPr>
                <w:rFonts w:ascii="Times New Roman" w:hAnsi="Times New Roman" w:cs="Times New Roman"/>
              </w:rPr>
              <w:t>池的建设，关键设备和零部件配备足够的备用件，确保稳定正常运行，避免事故性排放；发生事故后，立即实施应急检测，要求对影响范围内的人群实施紧急疏散，确保人群安全。</w:t>
            </w:r>
          </w:p>
          <w:p w:rsidR="00D22683" w:rsidRDefault="00ED01F6">
            <w:pPr>
              <w:widowControl/>
              <w:snapToGrid w:val="0"/>
              <w:spacing w:line="276" w:lineRule="auto"/>
              <w:ind w:firstLineChars="200" w:firstLine="42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四、公众参与情况</w:t>
            </w:r>
          </w:p>
          <w:p w:rsidR="00D22683" w:rsidRDefault="00ED01F6">
            <w:pPr>
              <w:adjustRightInd w:val="0"/>
              <w:snapToGrid w:val="0"/>
              <w:spacing w:line="276" w:lineRule="auto"/>
              <w:ind w:firstLineChars="200" w:firstLine="4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项目进行三次网上公示、两次报纸公示及现场张贴公示，均未收到反对意见。</w:t>
            </w:r>
          </w:p>
          <w:p w:rsidR="00D22683" w:rsidRDefault="00ED01F6">
            <w:pPr>
              <w:widowControl/>
              <w:spacing w:line="32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五、其他部门意见</w:t>
            </w:r>
          </w:p>
          <w:p w:rsidR="00D22683" w:rsidRDefault="00ED01F6">
            <w:pPr>
              <w:pStyle w:val="20"/>
              <w:spacing w:line="24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</w:rPr>
              <w:t>渠县发展和</w:t>
            </w:r>
            <w:proofErr w:type="gramStart"/>
            <w:r>
              <w:rPr>
                <w:rFonts w:ascii="Times New Roman" w:hAnsi="Times New Roman" w:cs="Times New Roman"/>
                <w:sz w:val="21"/>
              </w:rPr>
              <w:t>改革局</w:t>
            </w:r>
            <w:proofErr w:type="gramEnd"/>
            <w:r>
              <w:rPr>
                <w:rFonts w:ascii="Times New Roman" w:hAnsi="Times New Roman" w:cs="Times New Roman"/>
                <w:sz w:val="21"/>
              </w:rPr>
              <w:t>《四川省固定资产投资项目备案表》（备案号：川投资备【</w:t>
            </w:r>
            <w:r>
              <w:rPr>
                <w:rFonts w:ascii="Times New Roman" w:hAnsi="Times New Roman" w:cs="Times New Roman"/>
                <w:sz w:val="21"/>
              </w:rPr>
              <w:t>2303-511725-04-01-164398</w:t>
            </w:r>
            <w:r>
              <w:rPr>
                <w:rFonts w:ascii="Times New Roman" w:hAnsi="Times New Roman" w:cs="Times New Roman"/>
                <w:sz w:val="21"/>
              </w:rPr>
              <w:t>】</w:t>
            </w:r>
            <w:r>
              <w:rPr>
                <w:rFonts w:ascii="Times New Roman" w:hAnsi="Times New Roman" w:cs="Times New Roman"/>
                <w:sz w:val="21"/>
              </w:rPr>
              <w:t>FGQB-0027</w:t>
            </w:r>
            <w:r>
              <w:rPr>
                <w:rFonts w:ascii="Times New Roman" w:hAnsi="Times New Roman" w:cs="Times New Roman"/>
                <w:sz w:val="21"/>
              </w:rPr>
              <w:t>号）</w:t>
            </w:r>
          </w:p>
        </w:tc>
      </w:tr>
    </w:tbl>
    <w:p w:rsidR="00D22683" w:rsidRDefault="00D22683">
      <w:pPr>
        <w:spacing w:line="440" w:lineRule="exact"/>
        <w:jc w:val="left"/>
        <w:outlineLvl w:val="0"/>
        <w:rPr>
          <w:b/>
          <w:color w:val="2A2A2A"/>
          <w:sz w:val="18"/>
          <w:szCs w:val="18"/>
        </w:rPr>
      </w:pPr>
    </w:p>
    <w:p w:rsidR="00D22683" w:rsidRDefault="00D22683">
      <w:pPr>
        <w:framePr w:w="14686" w:hSpace="180" w:wrap="around" w:vAnchor="text" w:hAnchor="page" w:x="1606" w:y="4111"/>
        <w:spacing w:line="540" w:lineRule="exact"/>
        <w:ind w:firstLineChars="200" w:firstLine="360"/>
        <w:jc w:val="left"/>
        <w:rPr>
          <w:rFonts w:eastAsia="仿宋_GB2312"/>
          <w:sz w:val="18"/>
          <w:szCs w:val="18"/>
        </w:rPr>
      </w:pPr>
    </w:p>
    <w:sectPr w:rsidR="00D2268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F6" w:rsidRDefault="00ED01F6" w:rsidP="003450BD">
      <w:r>
        <w:separator/>
      </w:r>
    </w:p>
  </w:endnote>
  <w:endnote w:type="continuationSeparator" w:id="0">
    <w:p w:rsidR="00ED01F6" w:rsidRDefault="00ED01F6" w:rsidP="0034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F6" w:rsidRDefault="00ED01F6" w:rsidP="003450BD">
      <w:r>
        <w:separator/>
      </w:r>
    </w:p>
  </w:footnote>
  <w:footnote w:type="continuationSeparator" w:id="0">
    <w:p w:rsidR="00ED01F6" w:rsidRDefault="00ED01F6" w:rsidP="0034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zNjZDAwZmU0YjI4MDYyYTcwNjRiYTUzYmFlNDYifQ=="/>
  </w:docVars>
  <w:rsids>
    <w:rsidRoot w:val="00172A27"/>
    <w:rsid w:val="D7F960A9"/>
    <w:rsid w:val="EFFF5512"/>
    <w:rsid w:val="F7EEAEA7"/>
    <w:rsid w:val="F7EF5705"/>
    <w:rsid w:val="FB7E2E71"/>
    <w:rsid w:val="00172A27"/>
    <w:rsid w:val="003450BD"/>
    <w:rsid w:val="00D22683"/>
    <w:rsid w:val="00ED01F6"/>
    <w:rsid w:val="07CD4764"/>
    <w:rsid w:val="177FF02B"/>
    <w:rsid w:val="17FDD21D"/>
    <w:rsid w:val="26FFEEED"/>
    <w:rsid w:val="2DE616C5"/>
    <w:rsid w:val="32A40B77"/>
    <w:rsid w:val="37DEE2AA"/>
    <w:rsid w:val="3BFF0FBB"/>
    <w:rsid w:val="3CBB7D74"/>
    <w:rsid w:val="3DF91ABF"/>
    <w:rsid w:val="47FF3A4C"/>
    <w:rsid w:val="6977CDC4"/>
    <w:rsid w:val="6E7C1334"/>
    <w:rsid w:val="76E75C21"/>
    <w:rsid w:val="777E0B1C"/>
    <w:rsid w:val="7BD682BD"/>
    <w:rsid w:val="A7FFC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100"/>
    </w:pPr>
  </w:style>
  <w:style w:type="paragraph" w:styleId="a4">
    <w:name w:val="Body Text"/>
    <w:basedOn w:val="a"/>
    <w:next w:val="a"/>
    <w:qFormat/>
    <w:pPr>
      <w:autoSpaceDE w:val="0"/>
      <w:autoSpaceDN w:val="0"/>
      <w:jc w:val="left"/>
    </w:pPr>
    <w:rPr>
      <w:rFonts w:ascii="宋体" w:cs="宋体"/>
      <w:kern w:val="0"/>
      <w:sz w:val="24"/>
      <w:szCs w:val="24"/>
    </w:r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Document Map"/>
    <w:basedOn w:val="a"/>
    <w:qFormat/>
    <w:rPr>
      <w:rFonts w:ascii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20">
    <w:name w:val="Body Text Indent 2"/>
    <w:basedOn w:val="a"/>
    <w:qFormat/>
    <w:pPr>
      <w:spacing w:line="360" w:lineRule="auto"/>
    </w:pPr>
    <w:rPr>
      <w:sz w:val="24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able of figures"/>
    <w:basedOn w:val="a"/>
    <w:next w:val="a"/>
    <w:qFormat/>
    <w:pPr>
      <w:widowControl/>
      <w:spacing w:after="120" w:line="360" w:lineRule="auto"/>
      <w:ind w:leftChars="200" w:left="400" w:hangingChars="200" w:hanging="200"/>
    </w:pPr>
    <w:rPr>
      <w:kern w:val="0"/>
      <w:sz w:val="24"/>
      <w:szCs w:val="20"/>
    </w:rPr>
  </w:style>
  <w:style w:type="paragraph" w:styleId="21">
    <w:name w:val="toc 2"/>
    <w:basedOn w:val="a"/>
    <w:next w:val="a"/>
    <w:qFormat/>
    <w:pPr>
      <w:ind w:leftChars="200" w:left="200"/>
    </w:p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00FF"/>
      <w:u w:val="none"/>
    </w:rPr>
  </w:style>
  <w:style w:type="paragraph" w:customStyle="1" w:styleId="ae">
    <w:name w:val="报告书"/>
    <w:basedOn w:val="a"/>
    <w:qFormat/>
    <w:pPr>
      <w:autoSpaceDE w:val="0"/>
      <w:autoSpaceDN w:val="0"/>
      <w:adjustRightInd w:val="0"/>
      <w:spacing w:line="360" w:lineRule="auto"/>
      <w:ind w:firstLineChars="200" w:firstLine="200"/>
      <w:textAlignment w:val="bottom"/>
    </w:pPr>
    <w:rPr>
      <w:bCs/>
      <w:kern w:val="0"/>
      <w:sz w:val="24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</w:rPr>
  </w:style>
  <w:style w:type="paragraph" w:customStyle="1" w:styleId="Style2">
    <w:name w:val="_Style 2"/>
    <w:basedOn w:val="a"/>
    <w:qFormat/>
    <w:pPr>
      <w:ind w:firstLineChars="200" w:firstLine="200"/>
    </w:pPr>
  </w:style>
  <w:style w:type="paragraph" w:customStyle="1" w:styleId="151">
    <w:name w:val="样式 小四 行距: 1.5 倍行距1"/>
    <w:basedOn w:val="a"/>
    <w:qFormat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Style6">
    <w:name w:val="_Style 6"/>
    <w:basedOn w:val="a"/>
    <w:qFormat/>
    <w:rPr>
      <w:rFonts w:eastAsia="华文中宋"/>
      <w:kern w:val="0"/>
      <w:sz w:val="24"/>
      <w:szCs w:val="20"/>
    </w:rPr>
  </w:style>
  <w:style w:type="paragraph" w:customStyle="1" w:styleId="WJ">
    <w:name w:val="WJ正文"/>
    <w:basedOn w:val="a"/>
    <w:next w:val="a"/>
    <w:qFormat/>
    <w:pPr>
      <w:tabs>
        <w:tab w:val="left" w:pos="600"/>
      </w:tabs>
      <w:spacing w:line="480" w:lineRule="exact"/>
      <w:ind w:firstLineChars="200" w:firstLine="200"/>
    </w:pPr>
    <w:rPr>
      <w:rFonts w:ascii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100"/>
    </w:pPr>
  </w:style>
  <w:style w:type="paragraph" w:styleId="a4">
    <w:name w:val="Body Text"/>
    <w:basedOn w:val="a"/>
    <w:next w:val="a"/>
    <w:qFormat/>
    <w:pPr>
      <w:autoSpaceDE w:val="0"/>
      <w:autoSpaceDN w:val="0"/>
      <w:jc w:val="left"/>
    </w:pPr>
    <w:rPr>
      <w:rFonts w:ascii="宋体" w:cs="宋体"/>
      <w:kern w:val="0"/>
      <w:sz w:val="24"/>
      <w:szCs w:val="24"/>
    </w:r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Document Map"/>
    <w:basedOn w:val="a"/>
    <w:qFormat/>
    <w:rPr>
      <w:rFonts w:ascii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20">
    <w:name w:val="Body Text Indent 2"/>
    <w:basedOn w:val="a"/>
    <w:qFormat/>
    <w:pPr>
      <w:spacing w:line="360" w:lineRule="auto"/>
    </w:pPr>
    <w:rPr>
      <w:sz w:val="24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able of figures"/>
    <w:basedOn w:val="a"/>
    <w:next w:val="a"/>
    <w:qFormat/>
    <w:pPr>
      <w:widowControl/>
      <w:spacing w:after="120" w:line="360" w:lineRule="auto"/>
      <w:ind w:leftChars="200" w:left="400" w:hangingChars="200" w:hanging="200"/>
    </w:pPr>
    <w:rPr>
      <w:kern w:val="0"/>
      <w:sz w:val="24"/>
      <w:szCs w:val="20"/>
    </w:rPr>
  </w:style>
  <w:style w:type="paragraph" w:styleId="21">
    <w:name w:val="toc 2"/>
    <w:basedOn w:val="a"/>
    <w:next w:val="a"/>
    <w:qFormat/>
    <w:pPr>
      <w:ind w:leftChars="200" w:left="200"/>
    </w:p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00FF"/>
      <w:u w:val="none"/>
    </w:rPr>
  </w:style>
  <w:style w:type="paragraph" w:customStyle="1" w:styleId="ae">
    <w:name w:val="报告书"/>
    <w:basedOn w:val="a"/>
    <w:qFormat/>
    <w:pPr>
      <w:autoSpaceDE w:val="0"/>
      <w:autoSpaceDN w:val="0"/>
      <w:adjustRightInd w:val="0"/>
      <w:spacing w:line="360" w:lineRule="auto"/>
      <w:ind w:firstLineChars="200" w:firstLine="200"/>
      <w:textAlignment w:val="bottom"/>
    </w:pPr>
    <w:rPr>
      <w:bCs/>
      <w:kern w:val="0"/>
      <w:sz w:val="24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</w:rPr>
  </w:style>
  <w:style w:type="paragraph" w:customStyle="1" w:styleId="Style2">
    <w:name w:val="_Style 2"/>
    <w:basedOn w:val="a"/>
    <w:qFormat/>
    <w:pPr>
      <w:ind w:firstLineChars="200" w:firstLine="200"/>
    </w:pPr>
  </w:style>
  <w:style w:type="paragraph" w:customStyle="1" w:styleId="151">
    <w:name w:val="样式 小四 行距: 1.5 倍行距1"/>
    <w:basedOn w:val="a"/>
    <w:qFormat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Style6">
    <w:name w:val="_Style 6"/>
    <w:basedOn w:val="a"/>
    <w:qFormat/>
    <w:rPr>
      <w:rFonts w:eastAsia="华文中宋"/>
      <w:kern w:val="0"/>
      <w:sz w:val="24"/>
      <w:szCs w:val="20"/>
    </w:rPr>
  </w:style>
  <w:style w:type="paragraph" w:customStyle="1" w:styleId="WJ">
    <w:name w:val="WJ正文"/>
    <w:basedOn w:val="a"/>
    <w:next w:val="a"/>
    <w:qFormat/>
    <w:pPr>
      <w:tabs>
        <w:tab w:val="left" w:pos="600"/>
      </w:tabs>
      <w:spacing w:line="480" w:lineRule="exact"/>
      <w:ind w:firstLineChars="200" w:firstLine="200"/>
    </w:pPr>
    <w:rPr>
      <w:rFonts w:asci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>Hewlett-Packard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sheepice</dc:creator>
  <cp:lastModifiedBy>杜青</cp:lastModifiedBy>
  <cp:revision>2</cp:revision>
  <cp:lastPrinted>2023-09-28T09:11:00Z</cp:lastPrinted>
  <dcterms:created xsi:type="dcterms:W3CDTF">2023-12-26T08:47:00Z</dcterms:created>
  <dcterms:modified xsi:type="dcterms:W3CDTF">2023-12-26T08:47:00Z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0983E91520D94CD690E26A271C741DD8_13</vt:lpwstr>
  </property>
</Properties>
</file>