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30636" w14:textId="77777777" w:rsidR="00D2419B" w:rsidRDefault="00D2419B">
      <w:pPr>
        <w:adjustRightInd w:val="0"/>
        <w:spacing w:line="578" w:lineRule="exact"/>
        <w:rPr>
          <w:rFonts w:ascii="Times New Roman" w:eastAsia="仿宋_GB2312" w:hAnsi="Times New Roman" w:cs="Times New Roman"/>
          <w:sz w:val="32"/>
          <w:szCs w:val="32"/>
        </w:rPr>
      </w:pPr>
    </w:p>
    <w:p w14:paraId="08370884" w14:textId="77777777" w:rsidR="00D2419B" w:rsidRDefault="00B3701E">
      <w:pPr>
        <w:adjustRightInd w:val="0"/>
        <w:spacing w:before="10" w:after="10" w:line="578" w:lineRule="exact"/>
        <w:jc w:val="center"/>
        <w:outlineLvl w:val="1"/>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拟批准的建设项目</w:t>
      </w:r>
    </w:p>
    <w:tbl>
      <w:tblPr>
        <w:tblStyle w:val="a3"/>
        <w:tblW w:w="0" w:type="auto"/>
        <w:tblLayout w:type="fixed"/>
        <w:tblLook w:val="04A0" w:firstRow="1" w:lastRow="0" w:firstColumn="1" w:lastColumn="0" w:noHBand="0" w:noVBand="1"/>
      </w:tblPr>
      <w:tblGrid>
        <w:gridCol w:w="671"/>
        <w:gridCol w:w="775"/>
        <w:gridCol w:w="785"/>
        <w:gridCol w:w="698"/>
        <w:gridCol w:w="1120"/>
        <w:gridCol w:w="1272"/>
        <w:gridCol w:w="13714"/>
      </w:tblGrid>
      <w:tr w:rsidR="00D2419B" w14:paraId="01EA8D51" w14:textId="77777777">
        <w:trPr>
          <w:tblHeader/>
        </w:trPr>
        <w:tc>
          <w:tcPr>
            <w:tcW w:w="671" w:type="dxa"/>
            <w:vAlign w:val="center"/>
          </w:tcPr>
          <w:p w14:paraId="16D2DC20" w14:textId="77777777" w:rsidR="00D2419B" w:rsidRDefault="00B3701E">
            <w:pPr>
              <w:spacing w:line="300" w:lineRule="exact"/>
              <w:jc w:val="center"/>
              <w:rPr>
                <w:rFonts w:ascii="黑体" w:eastAsia="黑体" w:hAnsi="黑体" w:cs="黑体"/>
                <w:szCs w:val="21"/>
              </w:rPr>
            </w:pPr>
            <w:r>
              <w:rPr>
                <w:rFonts w:ascii="黑体" w:eastAsia="黑体" w:hAnsi="黑体" w:cs="黑体" w:hint="eastAsia"/>
                <w:szCs w:val="21"/>
              </w:rPr>
              <w:t>序号</w:t>
            </w:r>
          </w:p>
        </w:tc>
        <w:tc>
          <w:tcPr>
            <w:tcW w:w="775" w:type="dxa"/>
            <w:vAlign w:val="center"/>
          </w:tcPr>
          <w:p w14:paraId="2E3F2A32" w14:textId="77777777" w:rsidR="00D2419B" w:rsidRDefault="00B3701E">
            <w:pPr>
              <w:spacing w:line="300" w:lineRule="exact"/>
              <w:jc w:val="center"/>
              <w:rPr>
                <w:rFonts w:ascii="黑体" w:eastAsia="黑体" w:hAnsi="黑体" w:cs="黑体"/>
                <w:szCs w:val="21"/>
              </w:rPr>
            </w:pPr>
            <w:r>
              <w:rPr>
                <w:rFonts w:ascii="黑体" w:eastAsia="黑体" w:hAnsi="黑体" w:cs="黑体" w:hint="eastAsia"/>
                <w:szCs w:val="21"/>
              </w:rPr>
              <w:t>项目</w:t>
            </w:r>
          </w:p>
          <w:p w14:paraId="7B33E353" w14:textId="77777777" w:rsidR="00D2419B" w:rsidRDefault="00B3701E">
            <w:pPr>
              <w:spacing w:line="300" w:lineRule="exact"/>
              <w:jc w:val="center"/>
              <w:rPr>
                <w:rFonts w:ascii="黑体" w:eastAsia="黑体" w:hAnsi="黑体" w:cs="黑体"/>
                <w:szCs w:val="21"/>
              </w:rPr>
            </w:pPr>
            <w:r>
              <w:rPr>
                <w:rFonts w:ascii="黑体" w:eastAsia="黑体" w:hAnsi="黑体" w:cs="黑体" w:hint="eastAsia"/>
                <w:szCs w:val="21"/>
              </w:rPr>
              <w:t>名称</w:t>
            </w:r>
          </w:p>
        </w:tc>
        <w:tc>
          <w:tcPr>
            <w:tcW w:w="785" w:type="dxa"/>
            <w:vAlign w:val="center"/>
          </w:tcPr>
          <w:p w14:paraId="2FEEF9A0" w14:textId="77777777" w:rsidR="00D2419B" w:rsidRDefault="00B3701E">
            <w:pPr>
              <w:spacing w:line="300" w:lineRule="exact"/>
              <w:jc w:val="center"/>
              <w:rPr>
                <w:rFonts w:ascii="黑体" w:eastAsia="黑体" w:hAnsi="黑体" w:cs="黑体"/>
                <w:szCs w:val="21"/>
              </w:rPr>
            </w:pPr>
            <w:r>
              <w:rPr>
                <w:rFonts w:ascii="黑体" w:eastAsia="黑体" w:hAnsi="黑体" w:cs="黑体" w:hint="eastAsia"/>
                <w:szCs w:val="21"/>
              </w:rPr>
              <w:t>建设</w:t>
            </w:r>
          </w:p>
          <w:p w14:paraId="42D3BB96" w14:textId="77777777" w:rsidR="00D2419B" w:rsidRDefault="00B3701E">
            <w:pPr>
              <w:spacing w:line="300" w:lineRule="exact"/>
              <w:jc w:val="center"/>
              <w:rPr>
                <w:rFonts w:ascii="黑体" w:eastAsia="黑体" w:hAnsi="黑体" w:cs="黑体"/>
                <w:szCs w:val="21"/>
              </w:rPr>
            </w:pPr>
            <w:r>
              <w:rPr>
                <w:rFonts w:ascii="黑体" w:eastAsia="黑体" w:hAnsi="黑体" w:cs="黑体" w:hint="eastAsia"/>
                <w:szCs w:val="21"/>
              </w:rPr>
              <w:t>地点</w:t>
            </w:r>
          </w:p>
        </w:tc>
        <w:tc>
          <w:tcPr>
            <w:tcW w:w="698" w:type="dxa"/>
            <w:vAlign w:val="center"/>
          </w:tcPr>
          <w:p w14:paraId="680CB149" w14:textId="77777777" w:rsidR="00D2419B" w:rsidRDefault="00B3701E">
            <w:pPr>
              <w:spacing w:line="300" w:lineRule="exact"/>
              <w:jc w:val="center"/>
              <w:rPr>
                <w:rFonts w:ascii="黑体" w:eastAsia="黑体" w:hAnsi="黑体" w:cs="黑体"/>
                <w:szCs w:val="21"/>
              </w:rPr>
            </w:pPr>
            <w:r>
              <w:rPr>
                <w:rFonts w:ascii="黑体" w:eastAsia="黑体" w:hAnsi="黑体" w:cs="黑体" w:hint="eastAsia"/>
                <w:szCs w:val="21"/>
              </w:rPr>
              <w:t>建设</w:t>
            </w:r>
          </w:p>
          <w:p w14:paraId="2D1179D3" w14:textId="77777777" w:rsidR="00D2419B" w:rsidRDefault="00B3701E">
            <w:pPr>
              <w:spacing w:line="300" w:lineRule="exact"/>
              <w:jc w:val="center"/>
              <w:rPr>
                <w:rFonts w:ascii="黑体" w:eastAsia="黑体" w:hAnsi="黑体" w:cs="黑体"/>
                <w:szCs w:val="21"/>
              </w:rPr>
            </w:pPr>
            <w:r>
              <w:rPr>
                <w:rFonts w:ascii="黑体" w:eastAsia="黑体" w:hAnsi="黑体" w:cs="黑体" w:hint="eastAsia"/>
                <w:szCs w:val="21"/>
              </w:rPr>
              <w:t>单位</w:t>
            </w:r>
          </w:p>
        </w:tc>
        <w:tc>
          <w:tcPr>
            <w:tcW w:w="1120" w:type="dxa"/>
            <w:vAlign w:val="center"/>
          </w:tcPr>
          <w:p w14:paraId="006BC953" w14:textId="77777777" w:rsidR="00D2419B" w:rsidRDefault="00B3701E">
            <w:pPr>
              <w:spacing w:line="300" w:lineRule="exact"/>
              <w:jc w:val="center"/>
              <w:rPr>
                <w:rFonts w:ascii="黑体" w:eastAsia="黑体" w:hAnsi="黑体" w:cs="黑体"/>
                <w:szCs w:val="21"/>
              </w:rPr>
            </w:pPr>
            <w:r>
              <w:rPr>
                <w:rFonts w:ascii="黑体" w:eastAsia="黑体" w:hAnsi="黑体" w:cs="黑体" w:hint="eastAsia"/>
                <w:szCs w:val="21"/>
              </w:rPr>
              <w:t>环境影响</w:t>
            </w:r>
          </w:p>
          <w:p w14:paraId="04DC2D79" w14:textId="77777777" w:rsidR="00D2419B" w:rsidRDefault="00B3701E">
            <w:pPr>
              <w:spacing w:line="300" w:lineRule="exact"/>
              <w:jc w:val="center"/>
              <w:rPr>
                <w:rFonts w:ascii="黑体" w:eastAsia="黑体" w:hAnsi="黑体" w:cs="黑体"/>
                <w:szCs w:val="21"/>
              </w:rPr>
            </w:pPr>
            <w:r>
              <w:rPr>
                <w:rFonts w:ascii="黑体" w:eastAsia="黑体" w:hAnsi="黑体" w:cs="黑体" w:hint="eastAsia"/>
                <w:szCs w:val="21"/>
              </w:rPr>
              <w:t>评价机构</w:t>
            </w:r>
          </w:p>
        </w:tc>
        <w:tc>
          <w:tcPr>
            <w:tcW w:w="1272" w:type="dxa"/>
            <w:vAlign w:val="center"/>
          </w:tcPr>
          <w:p w14:paraId="5DDD7289" w14:textId="77777777" w:rsidR="00D2419B" w:rsidRDefault="00B3701E">
            <w:pPr>
              <w:spacing w:line="300" w:lineRule="exact"/>
              <w:jc w:val="center"/>
              <w:rPr>
                <w:rFonts w:ascii="黑体" w:eastAsia="黑体" w:hAnsi="黑体" w:cs="黑体"/>
                <w:szCs w:val="21"/>
              </w:rPr>
            </w:pPr>
            <w:r>
              <w:rPr>
                <w:rFonts w:ascii="黑体" w:eastAsia="黑体" w:hAnsi="黑体" w:cs="黑体" w:hint="eastAsia"/>
                <w:szCs w:val="21"/>
              </w:rPr>
              <w:t>项目概况</w:t>
            </w:r>
          </w:p>
        </w:tc>
        <w:tc>
          <w:tcPr>
            <w:tcW w:w="13714" w:type="dxa"/>
            <w:vAlign w:val="center"/>
          </w:tcPr>
          <w:p w14:paraId="262CE6ED" w14:textId="77777777" w:rsidR="00D2419B" w:rsidRDefault="00B3701E">
            <w:pPr>
              <w:spacing w:line="300" w:lineRule="exact"/>
              <w:jc w:val="center"/>
              <w:rPr>
                <w:rFonts w:ascii="黑体" w:eastAsia="黑体" w:hAnsi="黑体" w:cs="黑体"/>
                <w:szCs w:val="21"/>
              </w:rPr>
            </w:pPr>
            <w:r>
              <w:rPr>
                <w:rFonts w:ascii="黑体" w:eastAsia="黑体" w:hAnsi="黑体" w:cs="黑体" w:hint="eastAsia"/>
                <w:szCs w:val="21"/>
              </w:rPr>
              <w:t>报告表提出的主要环境影响及预防或者减轻不良环境影响的对策和措施</w:t>
            </w:r>
          </w:p>
        </w:tc>
      </w:tr>
      <w:tr w:rsidR="00D2419B" w14:paraId="0607F872" w14:textId="77777777">
        <w:tc>
          <w:tcPr>
            <w:tcW w:w="671" w:type="dxa"/>
            <w:vAlign w:val="center"/>
          </w:tcPr>
          <w:p w14:paraId="6752019B"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775" w:type="dxa"/>
            <w:vAlign w:val="center"/>
          </w:tcPr>
          <w:p w14:paraId="44781DA6"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合成氨装置</w:t>
            </w:r>
            <w:proofErr w:type="gramStart"/>
            <w:r>
              <w:rPr>
                <w:rFonts w:ascii="Times New Roman" w:eastAsia="仿宋_GB2312" w:hAnsi="Times New Roman" w:cs="Times New Roman"/>
                <w:szCs w:val="21"/>
              </w:rPr>
              <w:t>节能降碳改造</w:t>
            </w:r>
            <w:proofErr w:type="gramEnd"/>
            <w:r>
              <w:rPr>
                <w:rFonts w:ascii="Times New Roman" w:eastAsia="仿宋_GB2312" w:hAnsi="Times New Roman" w:cs="Times New Roman"/>
                <w:szCs w:val="21"/>
              </w:rPr>
              <w:t>（</w:t>
            </w:r>
            <w:r>
              <w:rPr>
                <w:rFonts w:ascii="Times New Roman" w:eastAsia="仿宋_GB2312" w:hAnsi="Times New Roman" w:cs="Times New Roman"/>
                <w:szCs w:val="21"/>
              </w:rPr>
              <w:t>110kV</w:t>
            </w:r>
            <w:r>
              <w:rPr>
                <w:rFonts w:ascii="Times New Roman" w:eastAsia="仿宋_GB2312" w:hAnsi="Times New Roman" w:cs="Times New Roman"/>
                <w:szCs w:val="21"/>
              </w:rPr>
              <w:t>变电站增容扩建项目）</w:t>
            </w:r>
          </w:p>
        </w:tc>
        <w:tc>
          <w:tcPr>
            <w:tcW w:w="785" w:type="dxa"/>
            <w:vAlign w:val="center"/>
          </w:tcPr>
          <w:p w14:paraId="0A416FAB"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达州高新区</w:t>
            </w:r>
            <w:proofErr w:type="gramStart"/>
            <w:r>
              <w:rPr>
                <w:rFonts w:ascii="Times New Roman" w:eastAsia="仿宋_GB2312" w:hAnsi="Times New Roman" w:cs="Times New Roman"/>
                <w:szCs w:val="21"/>
              </w:rPr>
              <w:t>斌</w:t>
            </w:r>
            <w:proofErr w:type="gramEnd"/>
            <w:r>
              <w:rPr>
                <w:rFonts w:ascii="Times New Roman" w:eastAsia="仿宋_GB2312" w:hAnsi="Times New Roman" w:cs="Times New Roman"/>
                <w:szCs w:val="21"/>
              </w:rPr>
              <w:t>郎街道百花村三组达州玖源新材料有限公司</w:t>
            </w:r>
            <w:proofErr w:type="gramStart"/>
            <w:r>
              <w:rPr>
                <w:rFonts w:ascii="Times New Roman" w:eastAsia="仿宋_GB2312" w:hAnsi="Times New Roman" w:cs="Times New Roman"/>
                <w:szCs w:val="21"/>
              </w:rPr>
              <w:t>厂区内西北侧</w:t>
            </w:r>
            <w:proofErr w:type="gramEnd"/>
          </w:p>
        </w:tc>
        <w:tc>
          <w:tcPr>
            <w:tcW w:w="698" w:type="dxa"/>
            <w:vAlign w:val="center"/>
          </w:tcPr>
          <w:p w14:paraId="3E813416"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达州玖源新材料有限公司</w:t>
            </w:r>
          </w:p>
        </w:tc>
        <w:tc>
          <w:tcPr>
            <w:tcW w:w="1120" w:type="dxa"/>
            <w:vAlign w:val="center"/>
          </w:tcPr>
          <w:p w14:paraId="36975156"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四川谱识检测技术有限公司</w:t>
            </w:r>
          </w:p>
        </w:tc>
        <w:tc>
          <w:tcPr>
            <w:tcW w:w="1272" w:type="dxa"/>
            <w:vAlign w:val="center"/>
          </w:tcPr>
          <w:p w14:paraId="5BEF2D2D"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建设性质：扩建</w:t>
            </w:r>
          </w:p>
          <w:p w14:paraId="1B6A182B"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建设内容：</w:t>
            </w:r>
            <w:r>
              <w:rPr>
                <w:rFonts w:ascii="Times New Roman" w:eastAsia="仿宋_GB2312" w:hAnsi="Times New Roman" w:cs="Times New Roman"/>
                <w:szCs w:val="21"/>
              </w:rPr>
              <w:t>达州玖源新材料有限公司</w:t>
            </w:r>
            <w:r>
              <w:rPr>
                <w:rFonts w:ascii="Times New Roman" w:eastAsia="仿宋_GB2312" w:hAnsi="Times New Roman" w:cs="Times New Roman"/>
                <w:szCs w:val="21"/>
              </w:rPr>
              <w:t>110kV</w:t>
            </w:r>
            <w:r>
              <w:rPr>
                <w:rFonts w:ascii="Times New Roman" w:eastAsia="仿宋_GB2312" w:hAnsi="Times New Roman" w:cs="Times New Roman"/>
                <w:szCs w:val="21"/>
              </w:rPr>
              <w:t>变电站</w:t>
            </w:r>
            <w:r>
              <w:rPr>
                <w:rFonts w:ascii="Times New Roman" w:eastAsia="仿宋_GB2312" w:hAnsi="Times New Roman" w:cs="Times New Roman"/>
                <w:szCs w:val="21"/>
              </w:rPr>
              <w:t>为既有变电站，本项目在既有变电站内进行扩建，</w:t>
            </w:r>
            <w:proofErr w:type="gramStart"/>
            <w:r>
              <w:rPr>
                <w:rFonts w:ascii="Times New Roman" w:eastAsia="仿宋_GB2312" w:hAnsi="Times New Roman" w:cs="Times New Roman"/>
                <w:szCs w:val="21"/>
              </w:rPr>
              <w:t>不</w:t>
            </w:r>
            <w:proofErr w:type="gramEnd"/>
            <w:r>
              <w:rPr>
                <w:rFonts w:ascii="Times New Roman" w:eastAsia="仿宋_GB2312" w:hAnsi="Times New Roman" w:cs="Times New Roman"/>
                <w:szCs w:val="21"/>
              </w:rPr>
              <w:t>新增占地。现有变电站采取半室内布置，主</w:t>
            </w:r>
            <w:proofErr w:type="gramStart"/>
            <w:r>
              <w:rPr>
                <w:rFonts w:ascii="Times New Roman" w:eastAsia="仿宋_GB2312" w:hAnsi="Times New Roman" w:cs="Times New Roman"/>
                <w:szCs w:val="21"/>
              </w:rPr>
              <w:t>变采用</w:t>
            </w:r>
            <w:proofErr w:type="gramEnd"/>
            <w:r>
              <w:rPr>
                <w:rFonts w:ascii="Times New Roman" w:eastAsia="仿宋_GB2312" w:hAnsi="Times New Roman" w:cs="Times New Roman"/>
                <w:szCs w:val="21"/>
              </w:rPr>
              <w:t>户内半敞开式布置，配电装置采用室内</w:t>
            </w:r>
            <w:r>
              <w:rPr>
                <w:rFonts w:ascii="Times New Roman" w:eastAsia="仿宋_GB2312" w:hAnsi="Times New Roman" w:cs="Times New Roman"/>
                <w:szCs w:val="21"/>
              </w:rPr>
              <w:t>GIS</w:t>
            </w:r>
            <w:r>
              <w:rPr>
                <w:rFonts w:ascii="Times New Roman" w:eastAsia="仿宋_GB2312" w:hAnsi="Times New Roman" w:cs="Times New Roman"/>
                <w:szCs w:val="21"/>
              </w:rPr>
              <w:t>布置。拆除并更换现有的主变压器</w:t>
            </w:r>
            <w:r>
              <w:rPr>
                <w:rFonts w:ascii="Times New Roman" w:eastAsia="仿宋_GB2312" w:hAnsi="Times New Roman" w:cs="Times New Roman"/>
                <w:szCs w:val="21"/>
              </w:rPr>
              <w:t>2×16MVA</w:t>
            </w:r>
            <w:r>
              <w:rPr>
                <w:rFonts w:ascii="Times New Roman" w:eastAsia="仿宋_GB2312" w:hAnsi="Times New Roman" w:cs="Times New Roman"/>
                <w:szCs w:val="21"/>
              </w:rPr>
              <w:t>。扩建后的主变容量</w:t>
            </w:r>
            <w:r>
              <w:rPr>
                <w:rFonts w:ascii="Times New Roman" w:eastAsia="仿宋_GB2312" w:hAnsi="Times New Roman" w:cs="Times New Roman"/>
                <w:szCs w:val="21"/>
              </w:rPr>
              <w:t>2</w:t>
            </w:r>
            <w:r>
              <w:rPr>
                <w:rFonts w:ascii="Times New Roman" w:eastAsia="仿宋_GB2312" w:hAnsi="Times New Roman" w:cs="Times New Roman"/>
                <w:szCs w:val="21"/>
                <w:lang w:val="zh-CN"/>
              </w:rPr>
              <w:t>×</w:t>
            </w:r>
            <w:r>
              <w:rPr>
                <w:rFonts w:ascii="Times New Roman" w:eastAsia="仿宋_GB2312" w:hAnsi="Times New Roman" w:cs="Times New Roman"/>
                <w:szCs w:val="21"/>
              </w:rPr>
              <w:t>31.5</w:t>
            </w:r>
            <w:r>
              <w:rPr>
                <w:rFonts w:ascii="Times New Roman" w:eastAsia="仿宋_GB2312" w:hAnsi="Times New Roman" w:cs="Times New Roman"/>
                <w:szCs w:val="21"/>
                <w:lang w:val="zh-CN"/>
              </w:rPr>
              <w:t>MVA</w:t>
            </w:r>
            <w:r>
              <w:rPr>
                <w:rFonts w:ascii="Times New Roman" w:eastAsia="仿宋_GB2312" w:hAnsi="Times New Roman" w:cs="Times New Roman"/>
                <w:szCs w:val="21"/>
              </w:rPr>
              <w:t>；</w:t>
            </w:r>
            <w:r>
              <w:rPr>
                <w:rFonts w:ascii="Times New Roman" w:eastAsia="仿宋_GB2312" w:hAnsi="Times New Roman" w:cs="Times New Roman"/>
                <w:szCs w:val="21"/>
              </w:rPr>
              <w:t>110kV</w:t>
            </w:r>
            <w:r>
              <w:rPr>
                <w:rFonts w:ascii="Times New Roman" w:eastAsia="仿宋_GB2312" w:hAnsi="Times New Roman" w:cs="Times New Roman"/>
                <w:szCs w:val="21"/>
              </w:rPr>
              <w:t>出线</w:t>
            </w:r>
            <w:r>
              <w:rPr>
                <w:rFonts w:ascii="Times New Roman" w:eastAsia="仿宋_GB2312" w:hAnsi="Times New Roman" w:cs="Times New Roman"/>
                <w:szCs w:val="21"/>
              </w:rPr>
              <w:t>2</w:t>
            </w:r>
            <w:r>
              <w:rPr>
                <w:rFonts w:ascii="Times New Roman" w:eastAsia="仿宋_GB2312" w:hAnsi="Times New Roman" w:cs="Times New Roman"/>
                <w:szCs w:val="21"/>
              </w:rPr>
              <w:t>回；</w:t>
            </w:r>
            <w:r>
              <w:rPr>
                <w:rFonts w:ascii="Times New Roman" w:eastAsia="仿宋_GB2312" w:hAnsi="Times New Roman" w:cs="Times New Roman"/>
                <w:szCs w:val="21"/>
              </w:rPr>
              <w:t>10kV</w:t>
            </w:r>
            <w:r>
              <w:rPr>
                <w:rFonts w:ascii="Times New Roman" w:eastAsia="仿宋_GB2312" w:hAnsi="Times New Roman" w:cs="Times New Roman"/>
                <w:szCs w:val="21"/>
              </w:rPr>
              <w:t>出线</w:t>
            </w:r>
            <w:r>
              <w:rPr>
                <w:rFonts w:ascii="Times New Roman" w:eastAsia="仿宋_GB2312" w:hAnsi="Times New Roman" w:cs="Times New Roman"/>
                <w:szCs w:val="21"/>
              </w:rPr>
              <w:t>10</w:t>
            </w:r>
            <w:r>
              <w:rPr>
                <w:rFonts w:ascii="Times New Roman" w:eastAsia="仿宋_GB2312" w:hAnsi="Times New Roman" w:cs="Times New Roman"/>
                <w:szCs w:val="21"/>
              </w:rPr>
              <w:t>回。本项目总投资</w:t>
            </w:r>
            <w:r>
              <w:rPr>
                <w:rFonts w:ascii="Times New Roman" w:eastAsia="仿宋_GB2312" w:hAnsi="Times New Roman" w:cs="Times New Roman"/>
                <w:szCs w:val="21"/>
              </w:rPr>
              <w:t>3900</w:t>
            </w:r>
            <w:r>
              <w:rPr>
                <w:rFonts w:ascii="Times New Roman" w:eastAsia="仿宋_GB2312" w:hAnsi="Times New Roman" w:cs="Times New Roman"/>
                <w:szCs w:val="21"/>
              </w:rPr>
              <w:t>万元，其中环保投资</w:t>
            </w:r>
            <w:r>
              <w:rPr>
                <w:rFonts w:ascii="Times New Roman" w:eastAsia="仿宋_GB2312" w:hAnsi="Times New Roman" w:cs="Times New Roman"/>
                <w:szCs w:val="21"/>
              </w:rPr>
              <w:t>25.1</w:t>
            </w:r>
            <w:r>
              <w:rPr>
                <w:rFonts w:ascii="Times New Roman" w:eastAsia="仿宋_GB2312" w:hAnsi="Times New Roman" w:cs="Times New Roman"/>
                <w:szCs w:val="21"/>
              </w:rPr>
              <w:t>万元，占项目总投资的</w:t>
            </w:r>
            <w:r>
              <w:rPr>
                <w:rFonts w:ascii="Times New Roman" w:eastAsia="仿宋_GB2312" w:hAnsi="Times New Roman" w:cs="Times New Roman"/>
                <w:szCs w:val="21"/>
              </w:rPr>
              <w:t>0.64%</w:t>
            </w:r>
            <w:r>
              <w:rPr>
                <w:rFonts w:ascii="Times New Roman" w:eastAsia="仿宋_GB2312" w:hAnsi="Times New Roman" w:cs="Times New Roman"/>
                <w:szCs w:val="21"/>
              </w:rPr>
              <w:t>。</w:t>
            </w:r>
          </w:p>
        </w:tc>
        <w:tc>
          <w:tcPr>
            <w:tcW w:w="13714" w:type="dxa"/>
            <w:vAlign w:val="center"/>
          </w:tcPr>
          <w:p w14:paraId="589D1024" w14:textId="77777777" w:rsidR="00D2419B" w:rsidRDefault="00B3701E">
            <w:pPr>
              <w:spacing w:line="300" w:lineRule="exact"/>
              <w:rPr>
                <w:rFonts w:ascii="Times New Roman" w:eastAsia="仿宋_GB2312" w:hAnsi="Times New Roman" w:cs="Times New Roman"/>
                <w:szCs w:val="21"/>
              </w:rPr>
            </w:pPr>
            <w:r>
              <w:rPr>
                <w:rFonts w:ascii="Times New Roman" w:eastAsia="仿宋_GB2312" w:hAnsi="Times New Roman" w:cs="Times New Roman"/>
                <w:szCs w:val="21"/>
              </w:rPr>
              <w:t>一、施工期环境保护措施</w:t>
            </w:r>
          </w:p>
          <w:p w14:paraId="3A21EF60"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szCs w:val="21"/>
              </w:rPr>
              <w:t>、生态环境保护措施</w:t>
            </w:r>
          </w:p>
          <w:p w14:paraId="6FED18CF"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本项目变电站改造在既有变电站围墙内进行，不涉及站外地表扰动和植被破坏，对站外生态环境无影响。本项目土石方能在站内平衡，不产生弃土。</w:t>
            </w:r>
          </w:p>
          <w:p w14:paraId="2B34B35B"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szCs w:val="21"/>
              </w:rPr>
              <w:t>、声环境保护措施</w:t>
            </w:r>
          </w:p>
          <w:p w14:paraId="529E1ECD"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为了尽可能减少变电站施工噪声影响，施工期采取下列措施：</w:t>
            </w:r>
          </w:p>
          <w:p w14:paraId="4D3D15E5"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合理安排施工机械作业时间和施工工序，缩短高噪声、高振动作业时间，尽量降低施工机械对周围环境形成噪声影响。建设工程项目严禁在夜间和中高考期间进行产生环境噪声污染的施工作业，因特殊需要必须连续施工作业的，应当取得地方人民政府住房和城乡建设、生态环境主管部门或者地方人民政府指定的部门的证明，并在施工现场显著位置公示或者以其他方式公告附近居民，不得采取捶打、敲击、金属切割等易产生高噪声的作业方式。</w:t>
            </w:r>
          </w:p>
          <w:p w14:paraId="0714A169"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②</w:t>
            </w:r>
            <w:r>
              <w:rPr>
                <w:rFonts w:ascii="Times New Roman" w:eastAsia="仿宋_GB2312" w:hAnsi="Times New Roman" w:cs="Times New Roman"/>
                <w:szCs w:val="21"/>
              </w:rPr>
              <w:t>选用低噪声的机械设备和工法，按操作规范操作机械设备，尽量减少碰撞噪声，在施工现场装卸材料的，应当采取减轻噪声的作业</w:t>
            </w:r>
            <w:r>
              <w:rPr>
                <w:rFonts w:ascii="Times New Roman" w:eastAsia="仿宋_GB2312" w:hAnsi="Times New Roman" w:cs="Times New Roman"/>
                <w:szCs w:val="21"/>
              </w:rPr>
              <w:t>方式，对工人进行环保方面的教育。尽量少用哨子、钟、笛等指挥作业。在装卸进程中，禁止野蛮作业。</w:t>
            </w:r>
          </w:p>
          <w:p w14:paraId="47AB3EB0"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③</w:t>
            </w:r>
            <w:r>
              <w:rPr>
                <w:rFonts w:ascii="Times New Roman" w:eastAsia="仿宋_GB2312" w:hAnsi="Times New Roman" w:cs="Times New Roman"/>
                <w:szCs w:val="21"/>
              </w:rPr>
              <w:t>在施工招投标时，将施工噪声控制列入承包内容，在合同中予以明确，并确保各项控制措施的落实。</w:t>
            </w:r>
          </w:p>
          <w:p w14:paraId="6F8217E5"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④</w:t>
            </w:r>
            <w:r>
              <w:rPr>
                <w:rFonts w:ascii="Times New Roman" w:eastAsia="仿宋_GB2312" w:hAnsi="Times New Roman" w:cs="Times New Roman"/>
                <w:szCs w:val="21"/>
              </w:rPr>
              <w:t>施工单位按照环境噪声污染防治管理法律法规的规定防止施工噪声污染，噪声排放不得超过国家、省、市建筑施工场界环境噪声排放标准。</w:t>
            </w:r>
          </w:p>
          <w:p w14:paraId="6A49BF77"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⑤</w:t>
            </w:r>
            <w:r>
              <w:rPr>
                <w:rFonts w:ascii="Times New Roman" w:eastAsia="仿宋_GB2312" w:hAnsi="Times New Roman" w:cs="Times New Roman"/>
                <w:szCs w:val="21"/>
              </w:rPr>
              <w:t>现场加工、绑扎钢筋，场内周转建筑材料，场内切割、加工建筑材料，安装、拆除模板等工序应安排在白天，并应采取降噪措施，以免对周围居民造成影响。</w:t>
            </w:r>
          </w:p>
          <w:p w14:paraId="5C0B2E80"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⑥</w:t>
            </w:r>
            <w:r>
              <w:rPr>
                <w:rFonts w:ascii="Times New Roman" w:eastAsia="仿宋_GB2312" w:hAnsi="Times New Roman" w:cs="Times New Roman"/>
                <w:szCs w:val="21"/>
              </w:rPr>
              <w:t>合理布局施工场地，变电站改造应尽量将易产生噪声的作业设备</w:t>
            </w:r>
            <w:r>
              <w:rPr>
                <w:rFonts w:ascii="Times New Roman" w:eastAsia="仿宋_GB2312" w:hAnsi="Times New Roman" w:cs="Times New Roman"/>
                <w:szCs w:val="21"/>
              </w:rPr>
              <w:t>设置在场地中部。</w:t>
            </w:r>
          </w:p>
          <w:p w14:paraId="0E962879"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⑦</w:t>
            </w:r>
            <w:r>
              <w:rPr>
                <w:rFonts w:ascii="Times New Roman" w:eastAsia="仿宋_GB2312" w:hAnsi="Times New Roman" w:cs="Times New Roman"/>
                <w:szCs w:val="21"/>
              </w:rPr>
              <w:t>施工单位应加强现场管理，加强对设备的维护、养护，闲置设备应立即关闭；尽可能采用外加工材料，减少现场加工的工作量。</w:t>
            </w:r>
          </w:p>
          <w:p w14:paraId="6E212576"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szCs w:val="21"/>
              </w:rPr>
              <w:t>、地表水环境保护措施</w:t>
            </w:r>
          </w:p>
          <w:p w14:paraId="13B2EA18"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施工单位应严格执行《建设工程施工地文明施工及环境管理暂行规定》，对施工废水进行妥善处理，在工地适当位置设置简易沉沙池对施工废水进行澄清处理，然后才能进行回收，用于洒水降尘，不外排，严禁施工废水乱排、乱流，做到文明施工。</w:t>
            </w:r>
          </w:p>
          <w:p w14:paraId="635D8A25"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②</w:t>
            </w:r>
            <w:r>
              <w:rPr>
                <w:rFonts w:ascii="Times New Roman" w:eastAsia="仿宋_GB2312" w:hAnsi="Times New Roman" w:cs="Times New Roman"/>
                <w:szCs w:val="21"/>
              </w:rPr>
              <w:t>变电站施工期施工人员生活污水依托达州玖源新材料有限公司厂区废水处理站（</w:t>
            </w:r>
            <w:r>
              <w:rPr>
                <w:rFonts w:ascii="Times New Roman" w:eastAsia="仿宋_GB2312" w:hAnsi="Times New Roman" w:cs="Times New Roman"/>
                <w:szCs w:val="21"/>
              </w:rPr>
              <w:t>A/O+MBBR</w:t>
            </w:r>
            <w:r>
              <w:rPr>
                <w:rFonts w:ascii="Times New Roman" w:eastAsia="仿宋_GB2312" w:hAnsi="Times New Roman" w:cs="Times New Roman"/>
                <w:szCs w:val="21"/>
              </w:rPr>
              <w:t>处理工艺，设计处理能力</w:t>
            </w:r>
            <w:r>
              <w:rPr>
                <w:rFonts w:ascii="Times New Roman" w:eastAsia="仿宋_GB2312" w:hAnsi="Times New Roman" w:cs="Times New Roman"/>
                <w:szCs w:val="21"/>
              </w:rPr>
              <w:t>20m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/h</w:t>
            </w:r>
            <w:r>
              <w:rPr>
                <w:rFonts w:ascii="Times New Roman" w:eastAsia="仿宋_GB2312" w:hAnsi="Times New Roman" w:cs="Times New Roman"/>
                <w:szCs w:val="21"/>
              </w:rPr>
              <w:t>）处理后，</w:t>
            </w:r>
            <w:r>
              <w:rPr>
                <w:rFonts w:ascii="Times New Roman" w:eastAsia="仿宋_GB2312" w:hAnsi="Times New Roman" w:cs="Times New Roman"/>
                <w:szCs w:val="21"/>
              </w:rPr>
              <w:t>通过园区污水管网，进入葛洲坝水务（达州）有限公司进一步处理。</w:t>
            </w:r>
          </w:p>
          <w:p w14:paraId="302667C5"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4</w:t>
            </w:r>
            <w:r>
              <w:rPr>
                <w:rFonts w:ascii="Times New Roman" w:eastAsia="仿宋_GB2312" w:hAnsi="Times New Roman" w:cs="Times New Roman"/>
                <w:szCs w:val="21"/>
              </w:rPr>
              <w:t>、大气环境保护措施</w:t>
            </w:r>
          </w:p>
          <w:p w14:paraId="53C89E5F"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根据《四川省〈中华人民共和国大气污染防治法〉实施办法》，全面督查建设工地现场管理</w:t>
            </w:r>
            <w:r>
              <w:rPr>
                <w:rFonts w:ascii="Times New Roman" w:eastAsia="仿宋_GB2312" w:hAnsi="Times New Roman" w:cs="Times New Roman"/>
                <w:szCs w:val="21"/>
              </w:rPr>
              <w:t>“</w:t>
            </w:r>
            <w:r>
              <w:rPr>
                <w:rFonts w:ascii="Times New Roman" w:eastAsia="仿宋_GB2312" w:hAnsi="Times New Roman" w:cs="Times New Roman"/>
                <w:szCs w:val="21"/>
              </w:rPr>
              <w:t>六必须</w:t>
            </w:r>
            <w:r>
              <w:rPr>
                <w:rFonts w:ascii="Times New Roman" w:eastAsia="仿宋_GB2312" w:hAnsi="Times New Roman" w:cs="Times New Roman"/>
                <w:szCs w:val="21"/>
              </w:rPr>
              <w:t>”“</w:t>
            </w:r>
            <w:r>
              <w:rPr>
                <w:rFonts w:ascii="Times New Roman" w:eastAsia="仿宋_GB2312" w:hAnsi="Times New Roman" w:cs="Times New Roman"/>
                <w:szCs w:val="21"/>
              </w:rPr>
              <w:t>六不准</w:t>
            </w:r>
            <w:r>
              <w:rPr>
                <w:rFonts w:ascii="Times New Roman" w:eastAsia="仿宋_GB2312" w:hAnsi="Times New Roman" w:cs="Times New Roman"/>
                <w:szCs w:val="21"/>
              </w:rPr>
              <w:t>”</w:t>
            </w:r>
            <w:r>
              <w:rPr>
                <w:rFonts w:ascii="Times New Roman" w:eastAsia="仿宋_GB2312" w:hAnsi="Times New Roman" w:cs="Times New Roman"/>
                <w:szCs w:val="21"/>
              </w:rPr>
              <w:t>执行情况；建设单位应要求施工单位制定施工期环境管理计划，加强管理，按进度、有计划地进行文明施工：</w:t>
            </w:r>
          </w:p>
          <w:p w14:paraId="2894197B"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1</w:t>
            </w:r>
            <w:r>
              <w:rPr>
                <w:rFonts w:ascii="Times New Roman" w:eastAsia="仿宋_GB2312" w:hAnsi="Times New Roman" w:cs="Times New Roman"/>
                <w:szCs w:val="21"/>
              </w:rPr>
              <w:t>）</w:t>
            </w:r>
            <w:r>
              <w:rPr>
                <w:rFonts w:ascii="Times New Roman" w:eastAsia="仿宋_GB2312" w:hAnsi="Times New Roman" w:cs="Times New Roman"/>
                <w:szCs w:val="21"/>
              </w:rPr>
              <w:t>施工场地扬尘防治措施</w:t>
            </w:r>
          </w:p>
          <w:p w14:paraId="1FAED5F2"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施工前须制定控制工地扬尘方案，施工期间接受城管部门的监督检查，采取有效防尘措施。</w:t>
            </w:r>
          </w:p>
          <w:p w14:paraId="5F4867F5"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②</w:t>
            </w:r>
            <w:r>
              <w:rPr>
                <w:rFonts w:ascii="Times New Roman" w:eastAsia="仿宋_GB2312" w:hAnsi="Times New Roman" w:cs="Times New Roman"/>
                <w:szCs w:val="21"/>
              </w:rPr>
              <w:t>购买成品砂石骨料，运输过程进行密闭遮盖。</w:t>
            </w:r>
          </w:p>
          <w:p w14:paraId="0A944EE6"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③</w:t>
            </w:r>
            <w:r>
              <w:rPr>
                <w:rFonts w:ascii="Times New Roman" w:eastAsia="仿宋_GB2312" w:hAnsi="Times New Roman" w:cs="Times New Roman"/>
                <w:szCs w:val="21"/>
              </w:rPr>
              <w:t>风速四级以上易产生扬尘时，建议施工单位应暂停土方开挖，采取覆盖堆料、湿润</w:t>
            </w:r>
            <w:r>
              <w:rPr>
                <w:rFonts w:ascii="Times New Roman" w:eastAsia="仿宋_GB2312" w:hAnsi="Times New Roman" w:cs="Times New Roman"/>
                <w:szCs w:val="21"/>
              </w:rPr>
              <w:t>等措施，有效减少扬尘污染。</w:t>
            </w:r>
          </w:p>
          <w:p w14:paraId="66BDA85A"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④</w:t>
            </w:r>
            <w:r>
              <w:rPr>
                <w:rFonts w:ascii="Times New Roman" w:eastAsia="仿宋_GB2312" w:hAnsi="Times New Roman" w:cs="Times New Roman"/>
                <w:szCs w:val="21"/>
              </w:rPr>
              <w:t>及时清运施工废弃物，暂时不能清运的应采取覆盖等措施，工程完毕后及时清理施工场地；</w:t>
            </w:r>
          </w:p>
          <w:p w14:paraId="72F74689"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⑤</w:t>
            </w:r>
            <w:r>
              <w:rPr>
                <w:rFonts w:ascii="Times New Roman" w:eastAsia="仿宋_GB2312" w:hAnsi="Times New Roman" w:cs="Times New Roman"/>
                <w:szCs w:val="21"/>
              </w:rPr>
              <w:t>施工单位应当对施工现场出入口进行硬化。</w:t>
            </w:r>
          </w:p>
          <w:p w14:paraId="24004E45"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⑥</w:t>
            </w:r>
            <w:r>
              <w:rPr>
                <w:rFonts w:ascii="Times New Roman" w:eastAsia="仿宋_GB2312" w:hAnsi="Times New Roman" w:cs="Times New Roman"/>
                <w:szCs w:val="21"/>
              </w:rPr>
              <w:t>必须使用商品混凝土，不得进行现场搅拌加工混凝土，禁止使用袋装水泥。</w:t>
            </w:r>
          </w:p>
          <w:p w14:paraId="6CAAD510"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⑦</w:t>
            </w:r>
            <w:r>
              <w:rPr>
                <w:rFonts w:ascii="Times New Roman" w:eastAsia="仿宋_GB2312" w:hAnsi="Times New Roman" w:cs="Times New Roman"/>
                <w:szCs w:val="21"/>
              </w:rPr>
              <w:t>施工运输车辆严禁不经过冲洗直接进入城市道路。</w:t>
            </w:r>
          </w:p>
          <w:p w14:paraId="51442D81"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⑧</w:t>
            </w:r>
            <w:r>
              <w:rPr>
                <w:rFonts w:ascii="Times New Roman" w:eastAsia="仿宋_GB2312" w:hAnsi="Times New Roman" w:cs="Times New Roman"/>
                <w:szCs w:val="21"/>
              </w:rPr>
              <w:t>工地做到</w:t>
            </w:r>
            <w:r>
              <w:rPr>
                <w:rFonts w:ascii="Times New Roman" w:eastAsia="仿宋_GB2312" w:hAnsi="Times New Roman" w:cs="Times New Roman"/>
                <w:szCs w:val="21"/>
              </w:rPr>
              <w:t>“</w:t>
            </w:r>
            <w:r>
              <w:rPr>
                <w:rFonts w:ascii="Times New Roman" w:eastAsia="仿宋_GB2312" w:hAnsi="Times New Roman" w:cs="Times New Roman"/>
                <w:szCs w:val="21"/>
              </w:rPr>
              <w:t>六必须</w:t>
            </w:r>
            <w:r>
              <w:rPr>
                <w:rFonts w:ascii="Times New Roman" w:eastAsia="仿宋_GB2312" w:hAnsi="Times New Roman" w:cs="Times New Roman"/>
                <w:szCs w:val="21"/>
              </w:rPr>
              <w:t>”“</w:t>
            </w:r>
            <w:r>
              <w:rPr>
                <w:rFonts w:ascii="Times New Roman" w:eastAsia="仿宋_GB2312" w:hAnsi="Times New Roman" w:cs="Times New Roman"/>
                <w:szCs w:val="21"/>
              </w:rPr>
              <w:t>六不准</w:t>
            </w:r>
            <w:r>
              <w:rPr>
                <w:rFonts w:ascii="Times New Roman" w:eastAsia="仿宋_GB2312" w:hAnsi="Times New Roman" w:cs="Times New Roman"/>
                <w:szCs w:val="21"/>
              </w:rPr>
              <w:t>”</w:t>
            </w:r>
            <w:r>
              <w:rPr>
                <w:rFonts w:ascii="Times New Roman" w:eastAsia="仿宋_GB2312" w:hAnsi="Times New Roman" w:cs="Times New Roman"/>
                <w:szCs w:val="21"/>
              </w:rPr>
              <w:t>、建筑垃圾密闭运输。</w:t>
            </w:r>
          </w:p>
          <w:p w14:paraId="1F85AE61"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2</w:t>
            </w:r>
            <w:r>
              <w:rPr>
                <w:rFonts w:ascii="Times New Roman" w:eastAsia="仿宋_GB2312" w:hAnsi="Times New Roman" w:cs="Times New Roman"/>
                <w:szCs w:val="21"/>
              </w:rPr>
              <w:t>）</w:t>
            </w:r>
            <w:r>
              <w:rPr>
                <w:rFonts w:ascii="Times New Roman" w:eastAsia="仿宋_GB2312" w:hAnsi="Times New Roman" w:cs="Times New Roman"/>
                <w:szCs w:val="21"/>
              </w:rPr>
              <w:t>运输扬尘防治措施</w:t>
            </w:r>
          </w:p>
          <w:p w14:paraId="51F91E90"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lastRenderedPageBreak/>
              <w:t>对于施工运输道路无雨日采用洒水车喷水降尘，成立公路养护、维修、清扫专业队伍，保持道路清洁、运行状态良好；运输沙、石、水泥、土方、垃圾等易产生扬尘物质的车辆，必须封盖严密，严禁撒漏；运输路线尽量避免穿越人口集中区、商业繁华区等敏感地段。</w:t>
            </w:r>
          </w:p>
        </w:tc>
      </w:tr>
      <w:tr w:rsidR="00D2419B" w14:paraId="373245D8" w14:textId="77777777">
        <w:tc>
          <w:tcPr>
            <w:tcW w:w="671" w:type="dxa"/>
            <w:vAlign w:val="center"/>
          </w:tcPr>
          <w:p w14:paraId="6A74AA74"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w:t>
            </w:r>
          </w:p>
        </w:tc>
        <w:tc>
          <w:tcPr>
            <w:tcW w:w="775" w:type="dxa"/>
            <w:vAlign w:val="center"/>
          </w:tcPr>
          <w:p w14:paraId="13B24066"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合成氨装置</w:t>
            </w:r>
            <w:proofErr w:type="gramStart"/>
            <w:r>
              <w:rPr>
                <w:rFonts w:ascii="Times New Roman" w:eastAsia="仿宋_GB2312" w:hAnsi="Times New Roman" w:cs="Times New Roman"/>
                <w:szCs w:val="21"/>
              </w:rPr>
              <w:t>节能降碳改造</w:t>
            </w:r>
            <w:proofErr w:type="gramEnd"/>
            <w:r>
              <w:rPr>
                <w:rFonts w:ascii="Times New Roman" w:eastAsia="仿宋_GB2312" w:hAnsi="Times New Roman" w:cs="Times New Roman"/>
                <w:szCs w:val="21"/>
              </w:rPr>
              <w:t>（</w:t>
            </w:r>
            <w:r>
              <w:rPr>
                <w:rFonts w:ascii="Times New Roman" w:eastAsia="仿宋_GB2312" w:hAnsi="Times New Roman" w:cs="Times New Roman"/>
                <w:szCs w:val="21"/>
              </w:rPr>
              <w:t>110kV</w:t>
            </w:r>
            <w:r>
              <w:rPr>
                <w:rFonts w:ascii="Times New Roman" w:eastAsia="仿宋_GB2312" w:hAnsi="Times New Roman" w:cs="Times New Roman"/>
                <w:szCs w:val="21"/>
              </w:rPr>
              <w:t>变电站增容扩建项目）</w:t>
            </w:r>
          </w:p>
        </w:tc>
        <w:tc>
          <w:tcPr>
            <w:tcW w:w="785" w:type="dxa"/>
            <w:vAlign w:val="center"/>
          </w:tcPr>
          <w:p w14:paraId="0934DF38"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达州高新区</w:t>
            </w:r>
            <w:proofErr w:type="gramStart"/>
            <w:r>
              <w:rPr>
                <w:rFonts w:ascii="Times New Roman" w:eastAsia="仿宋_GB2312" w:hAnsi="Times New Roman" w:cs="Times New Roman"/>
                <w:szCs w:val="21"/>
              </w:rPr>
              <w:t>斌</w:t>
            </w:r>
            <w:proofErr w:type="gramEnd"/>
            <w:r>
              <w:rPr>
                <w:rFonts w:ascii="Times New Roman" w:eastAsia="仿宋_GB2312" w:hAnsi="Times New Roman" w:cs="Times New Roman"/>
                <w:szCs w:val="21"/>
              </w:rPr>
              <w:t>郎街道百花村三组达州玖源新材料有限公司</w:t>
            </w:r>
            <w:proofErr w:type="gramStart"/>
            <w:r>
              <w:rPr>
                <w:rFonts w:ascii="Times New Roman" w:eastAsia="仿宋_GB2312" w:hAnsi="Times New Roman" w:cs="Times New Roman"/>
                <w:szCs w:val="21"/>
              </w:rPr>
              <w:t>厂区内西北侧</w:t>
            </w:r>
            <w:proofErr w:type="gramEnd"/>
          </w:p>
        </w:tc>
        <w:tc>
          <w:tcPr>
            <w:tcW w:w="698" w:type="dxa"/>
            <w:vAlign w:val="center"/>
          </w:tcPr>
          <w:p w14:paraId="29163827"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达州玖源新材料有限公司</w:t>
            </w:r>
          </w:p>
        </w:tc>
        <w:tc>
          <w:tcPr>
            <w:tcW w:w="1120" w:type="dxa"/>
            <w:vAlign w:val="center"/>
          </w:tcPr>
          <w:p w14:paraId="7C34042C"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四川谱识检测技术有限公司</w:t>
            </w:r>
          </w:p>
        </w:tc>
        <w:tc>
          <w:tcPr>
            <w:tcW w:w="1272" w:type="dxa"/>
            <w:vAlign w:val="center"/>
          </w:tcPr>
          <w:p w14:paraId="774D9F2A"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建设性质：扩建</w:t>
            </w:r>
          </w:p>
          <w:p w14:paraId="56CE63C5"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建设内容：</w:t>
            </w:r>
            <w:r>
              <w:rPr>
                <w:rFonts w:ascii="Times New Roman" w:eastAsia="仿宋_GB2312" w:hAnsi="Times New Roman" w:cs="Times New Roman"/>
                <w:szCs w:val="21"/>
              </w:rPr>
              <w:t>达州玖源新材料有限公司</w:t>
            </w:r>
            <w:r>
              <w:rPr>
                <w:rFonts w:ascii="Times New Roman" w:eastAsia="仿宋_GB2312" w:hAnsi="Times New Roman" w:cs="Times New Roman"/>
                <w:szCs w:val="21"/>
              </w:rPr>
              <w:t>110kV</w:t>
            </w:r>
            <w:r>
              <w:rPr>
                <w:rFonts w:ascii="Times New Roman" w:eastAsia="仿宋_GB2312" w:hAnsi="Times New Roman" w:cs="Times New Roman"/>
                <w:szCs w:val="21"/>
              </w:rPr>
              <w:t>变电站</w:t>
            </w:r>
            <w:r>
              <w:rPr>
                <w:rFonts w:ascii="Times New Roman" w:eastAsia="仿宋_GB2312" w:hAnsi="Times New Roman" w:cs="Times New Roman"/>
                <w:szCs w:val="21"/>
              </w:rPr>
              <w:t>为既有变电站，本项目在既有变电站内进行扩建，</w:t>
            </w:r>
            <w:proofErr w:type="gramStart"/>
            <w:r>
              <w:rPr>
                <w:rFonts w:ascii="Times New Roman" w:eastAsia="仿宋_GB2312" w:hAnsi="Times New Roman" w:cs="Times New Roman"/>
                <w:szCs w:val="21"/>
              </w:rPr>
              <w:t>不</w:t>
            </w:r>
            <w:proofErr w:type="gramEnd"/>
            <w:r>
              <w:rPr>
                <w:rFonts w:ascii="Times New Roman" w:eastAsia="仿宋_GB2312" w:hAnsi="Times New Roman" w:cs="Times New Roman"/>
                <w:szCs w:val="21"/>
              </w:rPr>
              <w:t>新增占地。现有变电站采取半室内布置，主</w:t>
            </w:r>
            <w:proofErr w:type="gramStart"/>
            <w:r>
              <w:rPr>
                <w:rFonts w:ascii="Times New Roman" w:eastAsia="仿宋_GB2312" w:hAnsi="Times New Roman" w:cs="Times New Roman"/>
                <w:szCs w:val="21"/>
              </w:rPr>
              <w:t>变采用</w:t>
            </w:r>
            <w:proofErr w:type="gramEnd"/>
            <w:r>
              <w:rPr>
                <w:rFonts w:ascii="Times New Roman" w:eastAsia="仿宋_GB2312" w:hAnsi="Times New Roman" w:cs="Times New Roman"/>
                <w:szCs w:val="21"/>
              </w:rPr>
              <w:t>户内半敞开式布置，配电装置采用室内</w:t>
            </w:r>
            <w:r>
              <w:rPr>
                <w:rFonts w:ascii="Times New Roman" w:eastAsia="仿宋_GB2312" w:hAnsi="Times New Roman" w:cs="Times New Roman"/>
                <w:szCs w:val="21"/>
              </w:rPr>
              <w:t>GIS</w:t>
            </w:r>
            <w:r>
              <w:rPr>
                <w:rFonts w:ascii="Times New Roman" w:eastAsia="仿宋_GB2312" w:hAnsi="Times New Roman" w:cs="Times New Roman"/>
                <w:szCs w:val="21"/>
              </w:rPr>
              <w:t>布置。拆除并更换现有的主变压器</w:t>
            </w:r>
            <w:r>
              <w:rPr>
                <w:rFonts w:ascii="Times New Roman" w:eastAsia="仿宋_GB2312" w:hAnsi="Times New Roman" w:cs="Times New Roman"/>
                <w:szCs w:val="21"/>
              </w:rPr>
              <w:t>2×16MVA</w:t>
            </w:r>
            <w:r>
              <w:rPr>
                <w:rFonts w:ascii="Times New Roman" w:eastAsia="仿宋_GB2312" w:hAnsi="Times New Roman" w:cs="Times New Roman"/>
                <w:szCs w:val="21"/>
              </w:rPr>
              <w:t>。扩建后的主变容量</w:t>
            </w:r>
            <w:r>
              <w:rPr>
                <w:rFonts w:ascii="Times New Roman" w:eastAsia="仿宋_GB2312" w:hAnsi="Times New Roman" w:cs="Times New Roman"/>
                <w:szCs w:val="21"/>
              </w:rPr>
              <w:t>2</w:t>
            </w:r>
            <w:r>
              <w:rPr>
                <w:rFonts w:ascii="Times New Roman" w:eastAsia="仿宋_GB2312" w:hAnsi="Times New Roman" w:cs="Times New Roman"/>
                <w:szCs w:val="21"/>
                <w:lang w:val="zh-CN"/>
              </w:rPr>
              <w:t>×</w:t>
            </w:r>
            <w:r>
              <w:rPr>
                <w:rFonts w:ascii="Times New Roman" w:eastAsia="仿宋_GB2312" w:hAnsi="Times New Roman" w:cs="Times New Roman"/>
                <w:szCs w:val="21"/>
              </w:rPr>
              <w:t>31.5</w:t>
            </w:r>
            <w:r>
              <w:rPr>
                <w:rFonts w:ascii="Times New Roman" w:eastAsia="仿宋_GB2312" w:hAnsi="Times New Roman" w:cs="Times New Roman"/>
                <w:szCs w:val="21"/>
                <w:lang w:val="zh-CN"/>
              </w:rPr>
              <w:t>MVA</w:t>
            </w:r>
            <w:r>
              <w:rPr>
                <w:rFonts w:ascii="Times New Roman" w:eastAsia="仿宋_GB2312" w:hAnsi="Times New Roman" w:cs="Times New Roman"/>
                <w:szCs w:val="21"/>
              </w:rPr>
              <w:t>；</w:t>
            </w:r>
            <w:r>
              <w:rPr>
                <w:rFonts w:ascii="Times New Roman" w:eastAsia="仿宋_GB2312" w:hAnsi="Times New Roman" w:cs="Times New Roman"/>
                <w:szCs w:val="21"/>
              </w:rPr>
              <w:t>110kV</w:t>
            </w:r>
            <w:r>
              <w:rPr>
                <w:rFonts w:ascii="Times New Roman" w:eastAsia="仿宋_GB2312" w:hAnsi="Times New Roman" w:cs="Times New Roman"/>
                <w:szCs w:val="21"/>
              </w:rPr>
              <w:t>出线</w:t>
            </w:r>
            <w:r>
              <w:rPr>
                <w:rFonts w:ascii="Times New Roman" w:eastAsia="仿宋_GB2312" w:hAnsi="Times New Roman" w:cs="Times New Roman"/>
                <w:szCs w:val="21"/>
              </w:rPr>
              <w:t>2</w:t>
            </w:r>
            <w:r>
              <w:rPr>
                <w:rFonts w:ascii="Times New Roman" w:eastAsia="仿宋_GB2312" w:hAnsi="Times New Roman" w:cs="Times New Roman"/>
                <w:szCs w:val="21"/>
              </w:rPr>
              <w:t>回；</w:t>
            </w:r>
            <w:r>
              <w:rPr>
                <w:rFonts w:ascii="Times New Roman" w:eastAsia="仿宋_GB2312" w:hAnsi="Times New Roman" w:cs="Times New Roman"/>
                <w:szCs w:val="21"/>
              </w:rPr>
              <w:t>10kV</w:t>
            </w:r>
            <w:r>
              <w:rPr>
                <w:rFonts w:ascii="Times New Roman" w:eastAsia="仿宋_GB2312" w:hAnsi="Times New Roman" w:cs="Times New Roman"/>
                <w:szCs w:val="21"/>
              </w:rPr>
              <w:t>出线</w:t>
            </w:r>
            <w:r>
              <w:rPr>
                <w:rFonts w:ascii="Times New Roman" w:eastAsia="仿宋_GB2312" w:hAnsi="Times New Roman" w:cs="Times New Roman"/>
                <w:szCs w:val="21"/>
              </w:rPr>
              <w:t>10</w:t>
            </w:r>
            <w:r>
              <w:rPr>
                <w:rFonts w:ascii="Times New Roman" w:eastAsia="仿宋_GB2312" w:hAnsi="Times New Roman" w:cs="Times New Roman"/>
                <w:szCs w:val="21"/>
              </w:rPr>
              <w:t>回。本项目总投资</w:t>
            </w:r>
            <w:r>
              <w:rPr>
                <w:rFonts w:ascii="Times New Roman" w:eastAsia="仿宋_GB2312" w:hAnsi="Times New Roman" w:cs="Times New Roman"/>
                <w:szCs w:val="21"/>
              </w:rPr>
              <w:t>3900</w:t>
            </w:r>
            <w:r>
              <w:rPr>
                <w:rFonts w:ascii="Times New Roman" w:eastAsia="仿宋_GB2312" w:hAnsi="Times New Roman" w:cs="Times New Roman"/>
                <w:szCs w:val="21"/>
              </w:rPr>
              <w:t>万元，其中环保投资</w:t>
            </w:r>
            <w:r>
              <w:rPr>
                <w:rFonts w:ascii="Times New Roman" w:eastAsia="仿宋_GB2312" w:hAnsi="Times New Roman" w:cs="Times New Roman"/>
                <w:szCs w:val="21"/>
              </w:rPr>
              <w:t>25.1</w:t>
            </w:r>
            <w:r>
              <w:rPr>
                <w:rFonts w:ascii="Times New Roman" w:eastAsia="仿宋_GB2312" w:hAnsi="Times New Roman" w:cs="Times New Roman"/>
                <w:szCs w:val="21"/>
              </w:rPr>
              <w:t>万元，占项目总投资的</w:t>
            </w:r>
            <w:r>
              <w:rPr>
                <w:rFonts w:ascii="Times New Roman" w:eastAsia="仿宋_GB2312" w:hAnsi="Times New Roman" w:cs="Times New Roman"/>
                <w:szCs w:val="21"/>
              </w:rPr>
              <w:t>0.64%</w:t>
            </w:r>
            <w:r>
              <w:rPr>
                <w:rFonts w:ascii="Times New Roman" w:eastAsia="仿宋_GB2312" w:hAnsi="Times New Roman" w:cs="Times New Roman"/>
                <w:szCs w:val="21"/>
              </w:rPr>
              <w:t>。</w:t>
            </w:r>
          </w:p>
        </w:tc>
        <w:tc>
          <w:tcPr>
            <w:tcW w:w="13714" w:type="dxa"/>
            <w:vAlign w:val="center"/>
          </w:tcPr>
          <w:p w14:paraId="2BCFDD35"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3</w:t>
            </w:r>
            <w:r>
              <w:rPr>
                <w:rFonts w:ascii="Times New Roman" w:eastAsia="仿宋_GB2312" w:hAnsi="Times New Roman" w:cs="Times New Roman"/>
                <w:szCs w:val="21"/>
              </w:rPr>
              <w:t>）</w:t>
            </w:r>
            <w:r>
              <w:rPr>
                <w:rFonts w:ascii="Times New Roman" w:eastAsia="仿宋_GB2312" w:hAnsi="Times New Roman" w:cs="Times New Roman"/>
                <w:szCs w:val="21"/>
              </w:rPr>
              <w:t>燃油废气的消减与控制</w:t>
            </w:r>
          </w:p>
          <w:p w14:paraId="62E6139B"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施工期间，运输车辆大部分使用汽（柴）油作燃料，尾气产生量与污染物含量相对较高，为了减轻尾气对周围环境的影响，施工单位应采取如下措施进行尾气控制：</w:t>
            </w:r>
          </w:p>
          <w:p w14:paraId="5D2CF745"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购置</w:t>
            </w:r>
            <w:r>
              <w:rPr>
                <w:rFonts w:ascii="Times New Roman" w:eastAsia="仿宋_GB2312" w:hAnsi="Times New Roman" w:cs="Times New Roman"/>
                <w:szCs w:val="21"/>
              </w:rPr>
              <w:t>车辆应选用尾气排放达到国家规定的排放标准；</w:t>
            </w:r>
          </w:p>
          <w:p w14:paraId="71C7EAFF"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②</w:t>
            </w:r>
            <w:r>
              <w:rPr>
                <w:rFonts w:ascii="Times New Roman" w:eastAsia="仿宋_GB2312" w:hAnsi="Times New Roman" w:cs="Times New Roman"/>
                <w:szCs w:val="21"/>
              </w:rPr>
              <w:t>运输线路尽量不穿越人群集中居住区。</w:t>
            </w:r>
          </w:p>
          <w:p w14:paraId="64A9C3EE"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5</w:t>
            </w:r>
            <w:r>
              <w:rPr>
                <w:rFonts w:ascii="Times New Roman" w:eastAsia="仿宋_GB2312" w:hAnsi="Times New Roman" w:cs="Times New Roman"/>
                <w:szCs w:val="21"/>
              </w:rPr>
              <w:t>、固体废物</w:t>
            </w:r>
          </w:p>
          <w:p w14:paraId="2DE299C4"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本项目施工期产生固</w:t>
            </w:r>
            <w:proofErr w:type="gramStart"/>
            <w:r>
              <w:rPr>
                <w:rFonts w:ascii="Times New Roman" w:eastAsia="仿宋_GB2312" w:hAnsi="Times New Roman" w:cs="Times New Roman"/>
                <w:szCs w:val="21"/>
              </w:rPr>
              <w:t>废主要</w:t>
            </w:r>
            <w:proofErr w:type="gramEnd"/>
            <w:r>
              <w:rPr>
                <w:rFonts w:ascii="Times New Roman" w:eastAsia="仿宋_GB2312" w:hAnsi="Times New Roman" w:cs="Times New Roman"/>
                <w:szCs w:val="21"/>
              </w:rPr>
              <w:t>为施工人员生活垃圾、拆除的建筑垃圾和设备。</w:t>
            </w:r>
          </w:p>
          <w:p w14:paraId="11B03E6B"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①</w:t>
            </w:r>
            <w:r>
              <w:rPr>
                <w:rFonts w:ascii="Times New Roman" w:eastAsia="仿宋_GB2312" w:hAnsi="Times New Roman" w:cs="Times New Roman"/>
                <w:szCs w:val="21"/>
              </w:rPr>
              <w:t>生活垃圾主要是施工人员产生的，利用变电站已有的生活垃圾收集设施统一收集后交由当地环卫部门处理。为避免施工垃圾及生活垃圾对环境造成影响，在工程施工前应做好施工机构及施工人员的环保培训。明确要求施工过程中的建筑垃圾及生活垃圾应分别收集堆放，其中建筑垃圾可回收部分回收利用，不能回收利用的部分运至指定的建筑垃圾处置场堆放。生活垃圾利用既有生活垃圾收集措</w:t>
            </w:r>
            <w:r>
              <w:rPr>
                <w:rFonts w:ascii="Times New Roman" w:eastAsia="仿宋_GB2312" w:hAnsi="Times New Roman" w:cs="Times New Roman"/>
                <w:szCs w:val="21"/>
              </w:rPr>
              <w:t>施处置。</w:t>
            </w:r>
          </w:p>
          <w:p w14:paraId="508F4AA2"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②</w:t>
            </w:r>
            <w:r>
              <w:rPr>
                <w:rFonts w:ascii="Times New Roman" w:eastAsia="仿宋_GB2312" w:hAnsi="Times New Roman" w:cs="Times New Roman"/>
                <w:szCs w:val="21"/>
              </w:rPr>
              <w:t>建筑垃圾可回收部分回收利用，不可</w:t>
            </w:r>
            <w:proofErr w:type="gramStart"/>
            <w:r>
              <w:rPr>
                <w:rFonts w:ascii="Times New Roman" w:eastAsia="仿宋_GB2312" w:hAnsi="Times New Roman" w:cs="Times New Roman"/>
                <w:szCs w:val="21"/>
              </w:rPr>
              <w:t>回收部</w:t>
            </w:r>
            <w:proofErr w:type="gramEnd"/>
            <w:r>
              <w:rPr>
                <w:rFonts w:ascii="Times New Roman" w:eastAsia="仿宋_GB2312" w:hAnsi="Times New Roman" w:cs="Times New Roman"/>
                <w:szCs w:val="21"/>
              </w:rPr>
              <w:t>分运至指定的市政建筑垃圾堆场处置。拆除的电力设备，由建设单位进行检测后回收，含油废物委托有资质的单位转运处理，不在厂内贮存。</w:t>
            </w:r>
          </w:p>
          <w:p w14:paraId="228849D2"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二、营运期环境保护措施</w:t>
            </w:r>
          </w:p>
          <w:p w14:paraId="28145342"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szCs w:val="21"/>
              </w:rPr>
              <w:t>、电磁环境保护措施</w:t>
            </w:r>
          </w:p>
          <w:p w14:paraId="0545E536"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1</w:t>
            </w:r>
            <w:r>
              <w:rPr>
                <w:rFonts w:ascii="Times New Roman" w:eastAsia="仿宋_GB2312" w:hAnsi="Times New Roman" w:cs="Times New Roman"/>
                <w:spacing w:val="-2"/>
                <w:szCs w:val="21"/>
              </w:rPr>
              <w:t>）主变及电气设备合理布局，保证导体和电气设备安全距离。</w:t>
            </w:r>
          </w:p>
          <w:p w14:paraId="321E94D0"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2</w:t>
            </w:r>
            <w:r>
              <w:rPr>
                <w:rFonts w:ascii="Times New Roman" w:eastAsia="仿宋_GB2312" w:hAnsi="Times New Roman" w:cs="Times New Roman"/>
                <w:spacing w:val="-2"/>
                <w:szCs w:val="21"/>
              </w:rPr>
              <w:t>）设备的选择和订货应符合国家现行电力电气产品标准的规定，做到安全可靠、技术先进、经济合理和运行检修方便。</w:t>
            </w:r>
          </w:p>
          <w:p w14:paraId="11A10E0E"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3</w:t>
            </w:r>
            <w:r>
              <w:rPr>
                <w:rFonts w:ascii="Times New Roman" w:eastAsia="仿宋_GB2312" w:hAnsi="Times New Roman" w:cs="Times New Roman"/>
                <w:spacing w:val="-2"/>
                <w:szCs w:val="21"/>
              </w:rPr>
              <w:t>）主变等电气设备采用户内半敞开式布置。</w:t>
            </w:r>
          </w:p>
          <w:p w14:paraId="0DD78E7D"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4</w:t>
            </w:r>
            <w:r>
              <w:rPr>
                <w:rFonts w:ascii="Times New Roman" w:eastAsia="仿宋_GB2312" w:hAnsi="Times New Roman" w:cs="Times New Roman"/>
                <w:spacing w:val="-2"/>
                <w:szCs w:val="21"/>
              </w:rPr>
              <w:t>）</w:t>
            </w:r>
            <w:r>
              <w:rPr>
                <w:rFonts w:ascii="Times New Roman" w:eastAsia="仿宋_GB2312" w:hAnsi="Times New Roman" w:cs="Times New Roman"/>
                <w:szCs w:val="21"/>
              </w:rPr>
              <w:t>变电站</w:t>
            </w:r>
            <w:r>
              <w:rPr>
                <w:rFonts w:ascii="Times New Roman" w:eastAsia="仿宋_GB2312" w:hAnsi="Times New Roman" w:cs="Times New Roman"/>
                <w:spacing w:val="-2"/>
                <w:szCs w:val="21"/>
              </w:rPr>
              <w:t>内铺设接地网，主变压器、开关等高压设备具有良好接地。站内设备的金属附件保持表面光滑，避免出现尖角、毛刺等，设备间接触良好，减少火花放电。</w:t>
            </w:r>
          </w:p>
          <w:p w14:paraId="4DE8241F"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szCs w:val="21"/>
              </w:rPr>
              <w:t>、声环境保护措施</w:t>
            </w:r>
          </w:p>
          <w:p w14:paraId="0C499614" w14:textId="77777777" w:rsidR="00D2419B" w:rsidRDefault="00B3701E">
            <w:pPr>
              <w:numPr>
                <w:ilvl w:val="0"/>
                <w:numId w:val="3"/>
              </w:num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采用低噪声主变压器设备，其噪声声压级不高于</w:t>
            </w:r>
            <w:r>
              <w:rPr>
                <w:rFonts w:ascii="Times New Roman" w:eastAsia="仿宋_GB2312" w:hAnsi="Times New Roman" w:cs="Times New Roman"/>
                <w:spacing w:val="-2"/>
                <w:szCs w:val="21"/>
              </w:rPr>
              <w:t>63.7dB</w:t>
            </w: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A</w:t>
            </w:r>
            <w:r>
              <w:rPr>
                <w:rFonts w:ascii="Times New Roman" w:eastAsia="仿宋_GB2312" w:hAnsi="Times New Roman" w:cs="Times New Roman"/>
                <w:spacing w:val="-2"/>
                <w:szCs w:val="21"/>
              </w:rPr>
              <w:t>），加强设备的运营管理维护，减少对周围敏感</w:t>
            </w:r>
            <w:proofErr w:type="gramStart"/>
            <w:r>
              <w:rPr>
                <w:rFonts w:ascii="Times New Roman" w:eastAsia="仿宋_GB2312" w:hAnsi="Times New Roman" w:cs="Times New Roman"/>
                <w:spacing w:val="-2"/>
                <w:szCs w:val="21"/>
              </w:rPr>
              <w:t>目标声</w:t>
            </w:r>
            <w:proofErr w:type="gramEnd"/>
            <w:r>
              <w:rPr>
                <w:rFonts w:ascii="Times New Roman" w:eastAsia="仿宋_GB2312" w:hAnsi="Times New Roman" w:cs="Times New Roman"/>
                <w:spacing w:val="-2"/>
                <w:szCs w:val="21"/>
              </w:rPr>
              <w:t>环境的影响。</w:t>
            </w:r>
          </w:p>
          <w:p w14:paraId="22EEEAF4" w14:textId="77777777" w:rsidR="00D2419B" w:rsidRDefault="00B3701E">
            <w:pPr>
              <w:numPr>
                <w:ilvl w:val="0"/>
                <w:numId w:val="3"/>
              </w:num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除主变压器外，其他设备采用户内布置方式，通过厂房隔声，减少噪声影响；</w:t>
            </w:r>
          </w:p>
          <w:p w14:paraId="58994562"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pacing w:val="-2"/>
                <w:szCs w:val="21"/>
              </w:rPr>
              <w:t>合理利用厂界围墙和绿化布置，降低噪声传播，确保站界达标。</w:t>
            </w:r>
            <w:r>
              <w:rPr>
                <w:rFonts w:ascii="Times New Roman" w:eastAsia="仿宋_GB2312" w:hAnsi="Times New Roman" w:cs="Times New Roman"/>
                <w:szCs w:val="21"/>
              </w:rPr>
              <w:t>。</w:t>
            </w:r>
          </w:p>
          <w:p w14:paraId="67FD5848"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szCs w:val="21"/>
              </w:rPr>
              <w:t>、地表水环境保护措施</w:t>
            </w:r>
          </w:p>
          <w:p w14:paraId="45CA80A7"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kern w:val="21"/>
                <w:szCs w:val="21"/>
              </w:rPr>
              <w:t>值守人员产生的生活污水依托达州玖源新材料有限公司厂内废水处理站（</w:t>
            </w:r>
            <w:r>
              <w:rPr>
                <w:rFonts w:ascii="Times New Roman" w:eastAsia="仿宋_GB2312" w:hAnsi="Times New Roman" w:cs="Times New Roman"/>
                <w:kern w:val="21"/>
                <w:szCs w:val="21"/>
              </w:rPr>
              <w:t>A/O+MBBR</w:t>
            </w:r>
            <w:r>
              <w:rPr>
                <w:rFonts w:ascii="Times New Roman" w:eastAsia="仿宋_GB2312" w:hAnsi="Times New Roman" w:cs="Times New Roman"/>
                <w:kern w:val="21"/>
                <w:szCs w:val="21"/>
              </w:rPr>
              <w:t>处理工艺，设计处理能力</w:t>
            </w:r>
            <w:r>
              <w:rPr>
                <w:rFonts w:ascii="Times New Roman" w:eastAsia="仿宋_GB2312" w:hAnsi="Times New Roman" w:cs="Times New Roman"/>
                <w:kern w:val="21"/>
                <w:szCs w:val="21"/>
              </w:rPr>
              <w:t>20m</w:t>
            </w:r>
            <w:r>
              <w:rPr>
                <w:rFonts w:ascii="Times New Roman" w:eastAsia="仿宋_GB2312" w:hAnsi="Times New Roman" w:cs="Times New Roman"/>
                <w:kern w:val="21"/>
                <w:szCs w:val="21"/>
                <w:vertAlign w:val="superscript"/>
              </w:rPr>
              <w:t>3</w:t>
            </w:r>
            <w:r>
              <w:rPr>
                <w:rFonts w:ascii="Times New Roman" w:eastAsia="仿宋_GB2312" w:hAnsi="Times New Roman" w:cs="Times New Roman"/>
                <w:kern w:val="21"/>
                <w:szCs w:val="21"/>
              </w:rPr>
              <w:t>/h</w:t>
            </w:r>
            <w:r>
              <w:rPr>
                <w:rFonts w:ascii="Times New Roman" w:eastAsia="仿宋_GB2312" w:hAnsi="Times New Roman" w:cs="Times New Roman"/>
                <w:kern w:val="21"/>
                <w:szCs w:val="21"/>
              </w:rPr>
              <w:t>）处理后，通过园区污水管网，进入葛洲坝水务（达州）有限公司进一步处理</w:t>
            </w:r>
            <w:r>
              <w:rPr>
                <w:rFonts w:ascii="Times New Roman" w:eastAsia="仿宋_GB2312" w:hAnsi="Times New Roman" w:cs="Times New Roman"/>
                <w:spacing w:val="-2"/>
                <w:szCs w:val="21"/>
              </w:rPr>
              <w:t>。</w:t>
            </w:r>
          </w:p>
          <w:p w14:paraId="226A45ED"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4</w:t>
            </w:r>
            <w:r>
              <w:rPr>
                <w:rFonts w:ascii="Times New Roman" w:eastAsia="仿宋_GB2312" w:hAnsi="Times New Roman" w:cs="Times New Roman"/>
                <w:spacing w:val="-2"/>
                <w:szCs w:val="21"/>
              </w:rPr>
              <w:t>、地下水污染防治措施</w:t>
            </w:r>
          </w:p>
          <w:p w14:paraId="6AA6658B"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变压器事故</w:t>
            </w:r>
            <w:proofErr w:type="gramStart"/>
            <w:r>
              <w:rPr>
                <w:rFonts w:ascii="Times New Roman" w:eastAsia="仿宋_GB2312" w:hAnsi="Times New Roman" w:cs="Times New Roman"/>
                <w:spacing w:val="-2"/>
                <w:szCs w:val="21"/>
              </w:rPr>
              <w:t>油进入主变正下方集</w:t>
            </w:r>
            <w:proofErr w:type="gramEnd"/>
            <w:r>
              <w:rPr>
                <w:rFonts w:ascii="Times New Roman" w:eastAsia="仿宋_GB2312" w:hAnsi="Times New Roman" w:cs="Times New Roman"/>
                <w:spacing w:val="-2"/>
                <w:szCs w:val="21"/>
              </w:rPr>
              <w:t>油坑，经排油管引入事故油池，大部分回收利用，不能回收部分为危废，交由相应</w:t>
            </w:r>
            <w:proofErr w:type="gramStart"/>
            <w:r>
              <w:rPr>
                <w:rFonts w:ascii="Times New Roman" w:eastAsia="仿宋_GB2312" w:hAnsi="Times New Roman" w:cs="Times New Roman"/>
                <w:spacing w:val="-2"/>
                <w:szCs w:val="21"/>
              </w:rPr>
              <w:t>危废处理</w:t>
            </w:r>
            <w:proofErr w:type="gramEnd"/>
            <w:r>
              <w:rPr>
                <w:rFonts w:ascii="Times New Roman" w:eastAsia="仿宋_GB2312" w:hAnsi="Times New Roman" w:cs="Times New Roman"/>
                <w:spacing w:val="-2"/>
                <w:szCs w:val="21"/>
              </w:rPr>
              <w:t>资质的单位处理。为了尽可能减小对地下水环境的影响，项目的地下水污染防治措施和对策应坚持</w:t>
            </w: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源头控制、分区防治、污染监控、应急响应</w:t>
            </w: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的原则。因此，项目可从以下几方面来加强地下水影响防治措施：</w:t>
            </w:r>
          </w:p>
          <w:p w14:paraId="24BDCD22" w14:textId="77777777" w:rsidR="00D2419B" w:rsidRDefault="00B3701E">
            <w:pPr>
              <w:numPr>
                <w:ilvl w:val="0"/>
                <w:numId w:val="4"/>
              </w:num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源头控制措施</w:t>
            </w:r>
          </w:p>
          <w:p w14:paraId="125816E2"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①</w:t>
            </w:r>
            <w:r>
              <w:rPr>
                <w:rFonts w:ascii="Times New Roman" w:eastAsia="仿宋_GB2312" w:hAnsi="Times New Roman" w:cs="Times New Roman"/>
                <w:spacing w:val="-2"/>
                <w:szCs w:val="21"/>
              </w:rPr>
              <w:t>减少污染物的排放量；</w:t>
            </w:r>
          </w:p>
          <w:p w14:paraId="2485D0DE"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②</w:t>
            </w:r>
            <w:r>
              <w:rPr>
                <w:rFonts w:ascii="Times New Roman" w:eastAsia="仿宋_GB2312" w:hAnsi="Times New Roman" w:cs="Times New Roman"/>
                <w:spacing w:val="-2"/>
                <w:szCs w:val="21"/>
              </w:rPr>
              <w:t>项目应根据国家现行相关规范加强环境管理，采取防止和降低主变压器油跑、冒、滴、漏的措施。正常生产过程中应加强巡检及时处理污染物跑、冒、滴、漏，同时应加强对防渗工程的检查，若发现防渗密封材料老化或损坏，应及时维修更换。</w:t>
            </w:r>
          </w:p>
          <w:p w14:paraId="23D3501A" w14:textId="77777777" w:rsidR="00D2419B" w:rsidRDefault="00B3701E">
            <w:pPr>
              <w:numPr>
                <w:ilvl w:val="0"/>
                <w:numId w:val="4"/>
              </w:num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分区防治措施</w:t>
            </w:r>
          </w:p>
          <w:p w14:paraId="51B795AC"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pacing w:val="-2"/>
                <w:szCs w:val="21"/>
              </w:rPr>
              <w:t>将</w:t>
            </w:r>
            <w:r>
              <w:rPr>
                <w:rFonts w:ascii="Times New Roman" w:eastAsia="仿宋_GB2312" w:hAnsi="Times New Roman" w:cs="Times New Roman"/>
                <w:kern w:val="21"/>
                <w:szCs w:val="21"/>
              </w:rPr>
              <w:t>变电站</w:t>
            </w:r>
            <w:r>
              <w:rPr>
                <w:rFonts w:ascii="Times New Roman" w:eastAsia="仿宋_GB2312" w:hAnsi="Times New Roman" w:cs="Times New Roman"/>
                <w:spacing w:val="-2"/>
                <w:szCs w:val="21"/>
              </w:rPr>
              <w:t>内功能单元所处位置划分为重点防渗区、一般防渗区以及简单防渗区三类。</w:t>
            </w:r>
            <w:bookmarkStart w:id="1" w:name="OLE_LINK13"/>
            <w:r>
              <w:rPr>
                <w:rFonts w:ascii="Times New Roman" w:eastAsia="仿宋_GB2312" w:hAnsi="Times New Roman" w:cs="Times New Roman"/>
                <w:spacing w:val="-2"/>
                <w:szCs w:val="21"/>
              </w:rPr>
              <w:t>事故油池池底及池壁参照《危险废物贮存污染控制标准》（</w:t>
            </w:r>
            <w:r>
              <w:rPr>
                <w:rFonts w:ascii="Times New Roman" w:eastAsia="仿宋_GB2312" w:hAnsi="Times New Roman" w:cs="Times New Roman"/>
                <w:spacing w:val="-2"/>
                <w:szCs w:val="21"/>
              </w:rPr>
              <w:t>GB18597-2023</w:t>
            </w:r>
            <w:r>
              <w:rPr>
                <w:rFonts w:ascii="Times New Roman" w:eastAsia="仿宋_GB2312" w:hAnsi="Times New Roman" w:cs="Times New Roman"/>
                <w:spacing w:val="-2"/>
                <w:szCs w:val="21"/>
              </w:rPr>
              <w:t>）等技术规范进行防渗处理</w:t>
            </w:r>
            <w:bookmarkEnd w:id="1"/>
            <w:r>
              <w:rPr>
                <w:rFonts w:ascii="Times New Roman" w:eastAsia="仿宋_GB2312" w:hAnsi="Times New Roman" w:cs="Times New Roman"/>
                <w:spacing w:val="-2"/>
                <w:szCs w:val="21"/>
              </w:rPr>
              <w:t>，满足相关防渗要求。</w:t>
            </w:r>
          </w:p>
          <w:p w14:paraId="422D0AD5"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lastRenderedPageBreak/>
              <w:t>5</w:t>
            </w:r>
            <w:r>
              <w:rPr>
                <w:rFonts w:ascii="Times New Roman" w:eastAsia="仿宋_GB2312" w:hAnsi="Times New Roman" w:cs="Times New Roman"/>
                <w:szCs w:val="21"/>
              </w:rPr>
              <w:t>、固体废物</w:t>
            </w:r>
          </w:p>
          <w:p w14:paraId="1A4B7B76"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本项目变电站现状产生的生活垃圾通过站内垃圾桶收集后由达州市政环卫部门统</w:t>
            </w:r>
            <w:r>
              <w:rPr>
                <w:rFonts w:ascii="Times New Roman" w:eastAsia="仿宋_GB2312" w:hAnsi="Times New Roman" w:cs="Times New Roman"/>
                <w:spacing w:val="-2"/>
                <w:szCs w:val="21"/>
              </w:rPr>
              <w:t>一收集处理。本项目改造完成后主要工作人员仍为原有值守人员</w:t>
            </w:r>
          </w:p>
        </w:tc>
      </w:tr>
      <w:tr w:rsidR="00D2419B" w14:paraId="293C44E7" w14:textId="77777777">
        <w:tc>
          <w:tcPr>
            <w:tcW w:w="671" w:type="dxa"/>
            <w:vAlign w:val="center"/>
          </w:tcPr>
          <w:p w14:paraId="43A001A9"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w:t>
            </w:r>
          </w:p>
        </w:tc>
        <w:tc>
          <w:tcPr>
            <w:tcW w:w="775" w:type="dxa"/>
            <w:vAlign w:val="center"/>
          </w:tcPr>
          <w:p w14:paraId="5DEC8D02"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合成氨装置</w:t>
            </w:r>
            <w:proofErr w:type="gramStart"/>
            <w:r>
              <w:rPr>
                <w:rFonts w:ascii="Times New Roman" w:eastAsia="仿宋_GB2312" w:hAnsi="Times New Roman" w:cs="Times New Roman"/>
                <w:szCs w:val="21"/>
              </w:rPr>
              <w:t>节能降碳改造</w:t>
            </w:r>
            <w:proofErr w:type="gramEnd"/>
            <w:r>
              <w:rPr>
                <w:rFonts w:ascii="Times New Roman" w:eastAsia="仿宋_GB2312" w:hAnsi="Times New Roman" w:cs="Times New Roman"/>
                <w:szCs w:val="21"/>
              </w:rPr>
              <w:t>（</w:t>
            </w:r>
            <w:r>
              <w:rPr>
                <w:rFonts w:ascii="Times New Roman" w:eastAsia="仿宋_GB2312" w:hAnsi="Times New Roman" w:cs="Times New Roman"/>
                <w:szCs w:val="21"/>
              </w:rPr>
              <w:t>110kV</w:t>
            </w:r>
            <w:r>
              <w:rPr>
                <w:rFonts w:ascii="Times New Roman" w:eastAsia="仿宋_GB2312" w:hAnsi="Times New Roman" w:cs="Times New Roman"/>
                <w:szCs w:val="21"/>
              </w:rPr>
              <w:t>变电站增容扩建项目）</w:t>
            </w:r>
          </w:p>
        </w:tc>
        <w:tc>
          <w:tcPr>
            <w:tcW w:w="785" w:type="dxa"/>
            <w:vAlign w:val="center"/>
          </w:tcPr>
          <w:p w14:paraId="499E56ED"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达州高新区</w:t>
            </w:r>
            <w:proofErr w:type="gramStart"/>
            <w:r>
              <w:rPr>
                <w:rFonts w:ascii="Times New Roman" w:eastAsia="仿宋_GB2312" w:hAnsi="Times New Roman" w:cs="Times New Roman"/>
                <w:szCs w:val="21"/>
              </w:rPr>
              <w:t>斌</w:t>
            </w:r>
            <w:proofErr w:type="gramEnd"/>
            <w:r>
              <w:rPr>
                <w:rFonts w:ascii="Times New Roman" w:eastAsia="仿宋_GB2312" w:hAnsi="Times New Roman" w:cs="Times New Roman"/>
                <w:szCs w:val="21"/>
              </w:rPr>
              <w:t>郎街道百花村三组达州玖源新材料有限公司</w:t>
            </w:r>
            <w:proofErr w:type="gramStart"/>
            <w:r>
              <w:rPr>
                <w:rFonts w:ascii="Times New Roman" w:eastAsia="仿宋_GB2312" w:hAnsi="Times New Roman" w:cs="Times New Roman"/>
                <w:szCs w:val="21"/>
              </w:rPr>
              <w:t>厂区内西北侧</w:t>
            </w:r>
            <w:proofErr w:type="gramEnd"/>
          </w:p>
        </w:tc>
        <w:tc>
          <w:tcPr>
            <w:tcW w:w="698" w:type="dxa"/>
            <w:vAlign w:val="center"/>
          </w:tcPr>
          <w:p w14:paraId="1DF17304"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达州玖源新材料有限公司</w:t>
            </w:r>
          </w:p>
        </w:tc>
        <w:tc>
          <w:tcPr>
            <w:tcW w:w="1120" w:type="dxa"/>
            <w:vAlign w:val="center"/>
          </w:tcPr>
          <w:p w14:paraId="6C81B5CD"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四川谱识检测技术有限公司</w:t>
            </w:r>
          </w:p>
        </w:tc>
        <w:tc>
          <w:tcPr>
            <w:tcW w:w="1272" w:type="dxa"/>
            <w:vAlign w:val="center"/>
          </w:tcPr>
          <w:p w14:paraId="53C0CD7D"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建设性质：扩建</w:t>
            </w:r>
          </w:p>
          <w:p w14:paraId="0C68C68E" w14:textId="77777777" w:rsidR="00D2419B" w:rsidRDefault="00B3701E">
            <w:pPr>
              <w:spacing w:line="300" w:lineRule="exact"/>
              <w:jc w:val="center"/>
              <w:rPr>
                <w:rFonts w:ascii="Times New Roman" w:eastAsia="仿宋_GB2312" w:hAnsi="Times New Roman" w:cs="Times New Roman"/>
                <w:szCs w:val="21"/>
              </w:rPr>
            </w:pPr>
            <w:r>
              <w:rPr>
                <w:rFonts w:ascii="Times New Roman" w:eastAsia="仿宋_GB2312" w:hAnsi="Times New Roman" w:cs="Times New Roman"/>
                <w:szCs w:val="21"/>
              </w:rPr>
              <w:t>建设内容：</w:t>
            </w:r>
            <w:r>
              <w:rPr>
                <w:rFonts w:ascii="Times New Roman" w:eastAsia="仿宋_GB2312" w:hAnsi="Times New Roman" w:cs="Times New Roman"/>
                <w:szCs w:val="21"/>
              </w:rPr>
              <w:t>达州玖源新材料有限公司</w:t>
            </w:r>
            <w:r>
              <w:rPr>
                <w:rFonts w:ascii="Times New Roman" w:eastAsia="仿宋_GB2312" w:hAnsi="Times New Roman" w:cs="Times New Roman"/>
                <w:szCs w:val="21"/>
              </w:rPr>
              <w:t>110kV</w:t>
            </w:r>
            <w:r>
              <w:rPr>
                <w:rFonts w:ascii="Times New Roman" w:eastAsia="仿宋_GB2312" w:hAnsi="Times New Roman" w:cs="Times New Roman"/>
                <w:szCs w:val="21"/>
              </w:rPr>
              <w:t>变电站</w:t>
            </w:r>
            <w:r>
              <w:rPr>
                <w:rFonts w:ascii="Times New Roman" w:eastAsia="仿宋_GB2312" w:hAnsi="Times New Roman" w:cs="Times New Roman"/>
                <w:szCs w:val="21"/>
              </w:rPr>
              <w:t>为既有变电站，本项目在既有变电站内进行扩建，</w:t>
            </w:r>
            <w:proofErr w:type="gramStart"/>
            <w:r>
              <w:rPr>
                <w:rFonts w:ascii="Times New Roman" w:eastAsia="仿宋_GB2312" w:hAnsi="Times New Roman" w:cs="Times New Roman"/>
                <w:szCs w:val="21"/>
              </w:rPr>
              <w:t>不</w:t>
            </w:r>
            <w:proofErr w:type="gramEnd"/>
            <w:r>
              <w:rPr>
                <w:rFonts w:ascii="Times New Roman" w:eastAsia="仿宋_GB2312" w:hAnsi="Times New Roman" w:cs="Times New Roman"/>
                <w:szCs w:val="21"/>
              </w:rPr>
              <w:t>新增占地。现有变电站采取半室内布置，主</w:t>
            </w:r>
            <w:proofErr w:type="gramStart"/>
            <w:r>
              <w:rPr>
                <w:rFonts w:ascii="Times New Roman" w:eastAsia="仿宋_GB2312" w:hAnsi="Times New Roman" w:cs="Times New Roman"/>
                <w:szCs w:val="21"/>
              </w:rPr>
              <w:t>变采用</w:t>
            </w:r>
            <w:proofErr w:type="gramEnd"/>
            <w:r>
              <w:rPr>
                <w:rFonts w:ascii="Times New Roman" w:eastAsia="仿宋_GB2312" w:hAnsi="Times New Roman" w:cs="Times New Roman"/>
                <w:szCs w:val="21"/>
              </w:rPr>
              <w:t>户内半敞开式布置，配电装置采用室内</w:t>
            </w:r>
            <w:r>
              <w:rPr>
                <w:rFonts w:ascii="Times New Roman" w:eastAsia="仿宋_GB2312" w:hAnsi="Times New Roman" w:cs="Times New Roman"/>
                <w:szCs w:val="21"/>
              </w:rPr>
              <w:t>GIS</w:t>
            </w:r>
            <w:r>
              <w:rPr>
                <w:rFonts w:ascii="Times New Roman" w:eastAsia="仿宋_GB2312" w:hAnsi="Times New Roman" w:cs="Times New Roman"/>
                <w:szCs w:val="21"/>
              </w:rPr>
              <w:t>布置。拆除并更换现有的主变压器</w:t>
            </w:r>
            <w:r>
              <w:rPr>
                <w:rFonts w:ascii="Times New Roman" w:eastAsia="仿宋_GB2312" w:hAnsi="Times New Roman" w:cs="Times New Roman"/>
                <w:szCs w:val="21"/>
              </w:rPr>
              <w:t>2×16MVA</w:t>
            </w:r>
            <w:r>
              <w:rPr>
                <w:rFonts w:ascii="Times New Roman" w:eastAsia="仿宋_GB2312" w:hAnsi="Times New Roman" w:cs="Times New Roman"/>
                <w:szCs w:val="21"/>
              </w:rPr>
              <w:t>。扩建后的主变容量</w:t>
            </w:r>
            <w:r>
              <w:rPr>
                <w:rFonts w:ascii="Times New Roman" w:eastAsia="仿宋_GB2312" w:hAnsi="Times New Roman" w:cs="Times New Roman"/>
                <w:szCs w:val="21"/>
              </w:rPr>
              <w:t>2</w:t>
            </w:r>
            <w:r>
              <w:rPr>
                <w:rFonts w:ascii="Times New Roman" w:eastAsia="仿宋_GB2312" w:hAnsi="Times New Roman" w:cs="Times New Roman"/>
                <w:szCs w:val="21"/>
                <w:lang w:val="zh-CN"/>
              </w:rPr>
              <w:t>×</w:t>
            </w:r>
            <w:r>
              <w:rPr>
                <w:rFonts w:ascii="Times New Roman" w:eastAsia="仿宋_GB2312" w:hAnsi="Times New Roman" w:cs="Times New Roman"/>
                <w:szCs w:val="21"/>
              </w:rPr>
              <w:t>31.5</w:t>
            </w:r>
            <w:r>
              <w:rPr>
                <w:rFonts w:ascii="Times New Roman" w:eastAsia="仿宋_GB2312" w:hAnsi="Times New Roman" w:cs="Times New Roman"/>
                <w:szCs w:val="21"/>
                <w:lang w:val="zh-CN"/>
              </w:rPr>
              <w:t>MVA</w:t>
            </w:r>
            <w:r>
              <w:rPr>
                <w:rFonts w:ascii="Times New Roman" w:eastAsia="仿宋_GB2312" w:hAnsi="Times New Roman" w:cs="Times New Roman"/>
                <w:szCs w:val="21"/>
              </w:rPr>
              <w:t>；</w:t>
            </w:r>
            <w:r>
              <w:rPr>
                <w:rFonts w:ascii="Times New Roman" w:eastAsia="仿宋_GB2312" w:hAnsi="Times New Roman" w:cs="Times New Roman"/>
                <w:szCs w:val="21"/>
              </w:rPr>
              <w:t>110kV</w:t>
            </w:r>
            <w:r>
              <w:rPr>
                <w:rFonts w:ascii="Times New Roman" w:eastAsia="仿宋_GB2312" w:hAnsi="Times New Roman" w:cs="Times New Roman"/>
                <w:szCs w:val="21"/>
              </w:rPr>
              <w:t>出线</w:t>
            </w:r>
            <w:r>
              <w:rPr>
                <w:rFonts w:ascii="Times New Roman" w:eastAsia="仿宋_GB2312" w:hAnsi="Times New Roman" w:cs="Times New Roman"/>
                <w:szCs w:val="21"/>
              </w:rPr>
              <w:t>2</w:t>
            </w:r>
            <w:r>
              <w:rPr>
                <w:rFonts w:ascii="Times New Roman" w:eastAsia="仿宋_GB2312" w:hAnsi="Times New Roman" w:cs="Times New Roman"/>
                <w:szCs w:val="21"/>
              </w:rPr>
              <w:t>回；</w:t>
            </w:r>
            <w:r>
              <w:rPr>
                <w:rFonts w:ascii="Times New Roman" w:eastAsia="仿宋_GB2312" w:hAnsi="Times New Roman" w:cs="Times New Roman"/>
                <w:szCs w:val="21"/>
              </w:rPr>
              <w:t>10kV</w:t>
            </w:r>
            <w:r>
              <w:rPr>
                <w:rFonts w:ascii="Times New Roman" w:eastAsia="仿宋_GB2312" w:hAnsi="Times New Roman" w:cs="Times New Roman"/>
                <w:szCs w:val="21"/>
              </w:rPr>
              <w:t>出线</w:t>
            </w:r>
            <w:r>
              <w:rPr>
                <w:rFonts w:ascii="Times New Roman" w:eastAsia="仿宋_GB2312" w:hAnsi="Times New Roman" w:cs="Times New Roman"/>
                <w:szCs w:val="21"/>
              </w:rPr>
              <w:t>10</w:t>
            </w:r>
            <w:r>
              <w:rPr>
                <w:rFonts w:ascii="Times New Roman" w:eastAsia="仿宋_GB2312" w:hAnsi="Times New Roman" w:cs="Times New Roman"/>
                <w:szCs w:val="21"/>
              </w:rPr>
              <w:t>回。本项目总投资</w:t>
            </w:r>
            <w:r>
              <w:rPr>
                <w:rFonts w:ascii="Times New Roman" w:eastAsia="仿宋_GB2312" w:hAnsi="Times New Roman" w:cs="Times New Roman"/>
                <w:szCs w:val="21"/>
              </w:rPr>
              <w:t>3900</w:t>
            </w:r>
            <w:r>
              <w:rPr>
                <w:rFonts w:ascii="Times New Roman" w:eastAsia="仿宋_GB2312" w:hAnsi="Times New Roman" w:cs="Times New Roman"/>
                <w:szCs w:val="21"/>
              </w:rPr>
              <w:t>万元，其中环保投资</w:t>
            </w:r>
            <w:r>
              <w:rPr>
                <w:rFonts w:ascii="Times New Roman" w:eastAsia="仿宋_GB2312" w:hAnsi="Times New Roman" w:cs="Times New Roman"/>
                <w:szCs w:val="21"/>
              </w:rPr>
              <w:t>25.1</w:t>
            </w:r>
            <w:r>
              <w:rPr>
                <w:rFonts w:ascii="Times New Roman" w:eastAsia="仿宋_GB2312" w:hAnsi="Times New Roman" w:cs="Times New Roman"/>
                <w:szCs w:val="21"/>
              </w:rPr>
              <w:t>万元，占项目总投资的</w:t>
            </w:r>
            <w:r>
              <w:rPr>
                <w:rFonts w:ascii="Times New Roman" w:eastAsia="仿宋_GB2312" w:hAnsi="Times New Roman" w:cs="Times New Roman"/>
                <w:szCs w:val="21"/>
              </w:rPr>
              <w:t>0.64%</w:t>
            </w:r>
            <w:r>
              <w:rPr>
                <w:rFonts w:ascii="Times New Roman" w:eastAsia="仿宋_GB2312" w:hAnsi="Times New Roman" w:cs="Times New Roman"/>
                <w:szCs w:val="21"/>
              </w:rPr>
              <w:t>。</w:t>
            </w:r>
          </w:p>
        </w:tc>
        <w:tc>
          <w:tcPr>
            <w:tcW w:w="13714" w:type="dxa"/>
            <w:vAlign w:val="center"/>
          </w:tcPr>
          <w:p w14:paraId="7ACFBA6B"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1</w:t>
            </w: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值班，本次改造不增加其他工作人员，因此，不增加生活垃圾的排放量。</w:t>
            </w:r>
          </w:p>
          <w:p w14:paraId="510EE098"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2</w:t>
            </w:r>
            <w:r>
              <w:rPr>
                <w:rFonts w:ascii="Times New Roman" w:eastAsia="仿宋_GB2312" w:hAnsi="Times New Roman" w:cs="Times New Roman"/>
                <w:spacing w:val="-2"/>
                <w:szCs w:val="21"/>
              </w:rPr>
              <w:t>）</w:t>
            </w:r>
            <w:r>
              <w:rPr>
                <w:rFonts w:ascii="Times New Roman" w:eastAsia="仿宋_GB2312" w:hAnsi="Times New Roman" w:cs="Times New Roman"/>
                <w:kern w:val="21"/>
                <w:szCs w:val="21"/>
              </w:rPr>
              <w:t>变电站</w:t>
            </w:r>
            <w:r>
              <w:rPr>
                <w:rFonts w:ascii="Times New Roman" w:eastAsia="仿宋_GB2312" w:hAnsi="Times New Roman" w:cs="Times New Roman"/>
                <w:spacing w:val="-2"/>
                <w:szCs w:val="21"/>
              </w:rPr>
              <w:t>主变压器事故工况时产生事故油，事故油属于危险废物。主变压器下设有集油坑，改建</w:t>
            </w:r>
            <w:r>
              <w:rPr>
                <w:rFonts w:ascii="Times New Roman" w:eastAsia="仿宋_GB2312" w:hAnsi="Times New Roman" w:cs="Times New Roman"/>
                <w:spacing w:val="-2"/>
                <w:szCs w:val="21"/>
              </w:rPr>
              <w:t>20m</w:t>
            </w:r>
            <w:r>
              <w:rPr>
                <w:rFonts w:ascii="Times New Roman" w:eastAsia="仿宋_GB2312" w:hAnsi="Times New Roman" w:cs="Times New Roman"/>
                <w:spacing w:val="-2"/>
                <w:szCs w:val="21"/>
                <w:vertAlign w:val="superscript"/>
              </w:rPr>
              <w:t>3</w:t>
            </w:r>
            <w:r>
              <w:rPr>
                <w:rFonts w:ascii="Times New Roman" w:eastAsia="仿宋_GB2312" w:hAnsi="Times New Roman" w:cs="Times New Roman"/>
                <w:spacing w:val="-2"/>
                <w:szCs w:val="21"/>
              </w:rPr>
              <w:t>事故油池两座。当出现事故时主变压器事故油进入</w:t>
            </w:r>
            <w:proofErr w:type="gramStart"/>
            <w:r>
              <w:rPr>
                <w:rFonts w:ascii="Times New Roman" w:eastAsia="仿宋_GB2312" w:hAnsi="Times New Roman" w:cs="Times New Roman"/>
                <w:spacing w:val="-2"/>
                <w:szCs w:val="21"/>
              </w:rPr>
              <w:t>集油坑后</w:t>
            </w:r>
            <w:proofErr w:type="gramEnd"/>
            <w:r>
              <w:rPr>
                <w:rFonts w:ascii="Times New Roman" w:eastAsia="仿宋_GB2312" w:hAnsi="Times New Roman" w:cs="Times New Roman"/>
                <w:spacing w:val="-2"/>
                <w:szCs w:val="21"/>
              </w:rPr>
              <w:t>通过事故油管引入事故油池，变压器油大部分回收利用，不能利用的</w:t>
            </w:r>
            <w:proofErr w:type="gramStart"/>
            <w:r>
              <w:rPr>
                <w:rFonts w:ascii="Times New Roman" w:eastAsia="仿宋_GB2312" w:hAnsi="Times New Roman" w:cs="Times New Roman"/>
                <w:spacing w:val="-2"/>
                <w:szCs w:val="21"/>
              </w:rPr>
              <w:t>作为危废管理</w:t>
            </w:r>
            <w:proofErr w:type="gramEnd"/>
            <w:r>
              <w:rPr>
                <w:rFonts w:ascii="Times New Roman" w:eastAsia="仿宋_GB2312" w:hAnsi="Times New Roman" w:cs="Times New Roman"/>
                <w:spacing w:val="-2"/>
                <w:szCs w:val="21"/>
              </w:rPr>
              <w:t>，产生后随即委托相关单位清运，交由相应</w:t>
            </w:r>
            <w:proofErr w:type="gramStart"/>
            <w:r>
              <w:rPr>
                <w:rFonts w:ascii="Times New Roman" w:eastAsia="仿宋_GB2312" w:hAnsi="Times New Roman" w:cs="Times New Roman"/>
                <w:spacing w:val="-2"/>
                <w:szCs w:val="21"/>
              </w:rPr>
              <w:t>危废处理</w:t>
            </w:r>
            <w:proofErr w:type="gramEnd"/>
            <w:r>
              <w:rPr>
                <w:rFonts w:ascii="Times New Roman" w:eastAsia="仿宋_GB2312" w:hAnsi="Times New Roman" w:cs="Times New Roman"/>
                <w:spacing w:val="-2"/>
                <w:szCs w:val="21"/>
              </w:rPr>
              <w:t>资质的单位处理。</w:t>
            </w:r>
          </w:p>
          <w:p w14:paraId="14340B6D"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3</w:t>
            </w: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蓄电池将根据使用情况定期更换</w:t>
            </w:r>
            <w:r>
              <w:rPr>
                <w:rFonts w:ascii="Times New Roman" w:eastAsia="仿宋_GB2312" w:hAnsi="Times New Roman" w:cs="Times New Roman"/>
                <w:spacing w:val="-2"/>
                <w:szCs w:val="21"/>
              </w:rPr>
              <w:t>，约</w:t>
            </w:r>
            <w:r>
              <w:rPr>
                <w:rFonts w:ascii="Times New Roman" w:eastAsia="仿宋_GB2312" w:hAnsi="Times New Roman" w:cs="Times New Roman"/>
                <w:spacing w:val="-2"/>
                <w:szCs w:val="21"/>
              </w:rPr>
              <w:t>5</w:t>
            </w: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8</w:t>
            </w:r>
            <w:r>
              <w:rPr>
                <w:rFonts w:ascii="Times New Roman" w:eastAsia="仿宋_GB2312" w:hAnsi="Times New Roman" w:cs="Times New Roman"/>
                <w:spacing w:val="-2"/>
                <w:szCs w:val="21"/>
              </w:rPr>
              <w:t>年更换</w:t>
            </w:r>
            <w:r>
              <w:rPr>
                <w:rFonts w:ascii="Times New Roman" w:eastAsia="仿宋_GB2312" w:hAnsi="Times New Roman" w:cs="Times New Roman"/>
                <w:spacing w:val="-2"/>
                <w:szCs w:val="21"/>
              </w:rPr>
              <w:t>1</w:t>
            </w:r>
            <w:r>
              <w:rPr>
                <w:rFonts w:ascii="Times New Roman" w:eastAsia="仿宋_GB2312" w:hAnsi="Times New Roman" w:cs="Times New Roman"/>
                <w:spacing w:val="-2"/>
                <w:szCs w:val="21"/>
              </w:rPr>
              <w:t>次。建设单位在日常检修中不定期检测蓄电池电压，若性能满足要求则继续使用，对性能不达标的蓄电池，则进行更换，更换下来的蓄电池由检修公司进行进一步的检测和鉴定，若经鉴定属于危险废物的，则按照危险废物进行管理。更换的废蓄电池</w:t>
            </w:r>
            <w:proofErr w:type="gramStart"/>
            <w:r>
              <w:rPr>
                <w:rFonts w:ascii="Times New Roman" w:eastAsia="仿宋_GB2312" w:hAnsi="Times New Roman" w:cs="Times New Roman"/>
                <w:spacing w:val="-2"/>
                <w:szCs w:val="21"/>
              </w:rPr>
              <w:t>按危险</w:t>
            </w:r>
            <w:proofErr w:type="gramEnd"/>
            <w:r>
              <w:rPr>
                <w:rFonts w:ascii="Times New Roman" w:eastAsia="仿宋_GB2312" w:hAnsi="Times New Roman" w:cs="Times New Roman"/>
                <w:spacing w:val="-2"/>
                <w:szCs w:val="21"/>
              </w:rPr>
              <w:t>废物管理，按照《危险废物转移管理办法》有关规定，禁止在转移过程中擅自拆解、破碎、丢弃废旧蓄电池。最终交由相应</w:t>
            </w:r>
            <w:proofErr w:type="gramStart"/>
            <w:r>
              <w:rPr>
                <w:rFonts w:ascii="Times New Roman" w:eastAsia="仿宋_GB2312" w:hAnsi="Times New Roman" w:cs="Times New Roman"/>
                <w:spacing w:val="-2"/>
                <w:szCs w:val="21"/>
              </w:rPr>
              <w:t>危废处理</w:t>
            </w:r>
            <w:proofErr w:type="gramEnd"/>
            <w:r>
              <w:rPr>
                <w:rFonts w:ascii="Times New Roman" w:eastAsia="仿宋_GB2312" w:hAnsi="Times New Roman" w:cs="Times New Roman"/>
                <w:spacing w:val="-2"/>
                <w:szCs w:val="21"/>
              </w:rPr>
              <w:t>资质的单位处理，产生后随即清运，不在变电站内暂存。</w:t>
            </w:r>
          </w:p>
          <w:p w14:paraId="0D4B7335" w14:textId="77777777" w:rsidR="00D2419B" w:rsidRDefault="00B3701E">
            <w:pPr>
              <w:spacing w:line="340" w:lineRule="exact"/>
              <w:rPr>
                <w:rFonts w:ascii="Times New Roman" w:eastAsia="仿宋_GB2312" w:hAnsi="Times New Roman" w:cs="Times New Roman"/>
                <w:szCs w:val="21"/>
              </w:rPr>
            </w:pPr>
            <w:r>
              <w:rPr>
                <w:rFonts w:ascii="Times New Roman" w:eastAsia="仿宋_GB2312" w:hAnsi="Times New Roman" w:cs="Times New Roman"/>
                <w:szCs w:val="21"/>
              </w:rPr>
              <w:t>6</w:t>
            </w:r>
            <w:r>
              <w:rPr>
                <w:rFonts w:ascii="Times New Roman" w:eastAsia="仿宋_GB2312" w:hAnsi="Times New Roman" w:cs="Times New Roman"/>
                <w:szCs w:val="21"/>
              </w:rPr>
              <w:t>、环境风险防范措施</w:t>
            </w:r>
          </w:p>
          <w:p w14:paraId="21644EC2"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本项目的环境风险主要来自</w:t>
            </w:r>
            <w:r>
              <w:rPr>
                <w:rFonts w:ascii="Times New Roman" w:eastAsia="仿宋_GB2312" w:hAnsi="Times New Roman" w:cs="Times New Roman"/>
                <w:szCs w:val="21"/>
              </w:rPr>
              <w:t>变电站</w:t>
            </w:r>
            <w:r>
              <w:rPr>
                <w:rFonts w:ascii="Times New Roman" w:eastAsia="仿宋_GB2312" w:hAnsi="Times New Roman" w:cs="Times New Roman"/>
                <w:spacing w:val="-2"/>
                <w:szCs w:val="21"/>
              </w:rPr>
              <w:t>变压器发生故障时变压器油的泄漏及衍生事故。</w:t>
            </w:r>
          </w:p>
          <w:p w14:paraId="7BA18DC6"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zCs w:val="21"/>
              </w:rPr>
              <w:t>变电站</w:t>
            </w:r>
            <w:r>
              <w:rPr>
                <w:rFonts w:ascii="Times New Roman" w:eastAsia="仿宋_GB2312" w:hAnsi="Times New Roman" w:cs="Times New Roman"/>
                <w:spacing w:val="-2"/>
                <w:szCs w:val="21"/>
              </w:rPr>
              <w:t>的环境风险主要来自变压器发生故障时变压器油的泄漏。变压器油是石油的一种分馏产物，它的主要成分是烷烃，环烷族饱和烃，芳香族不饱和烃等化合物，俗称方坯油，浅黄色透明液体。事故废油和检修时产生的废油均属于《危险废物名录（</w:t>
            </w:r>
            <w:r>
              <w:rPr>
                <w:rFonts w:ascii="Times New Roman" w:eastAsia="仿宋_GB2312" w:hAnsi="Times New Roman" w:cs="Times New Roman"/>
                <w:spacing w:val="-2"/>
                <w:szCs w:val="21"/>
              </w:rPr>
              <w:t>2021</w:t>
            </w:r>
            <w:r>
              <w:rPr>
                <w:rFonts w:ascii="Times New Roman" w:eastAsia="仿宋_GB2312" w:hAnsi="Times New Roman" w:cs="Times New Roman"/>
                <w:spacing w:val="-2"/>
                <w:szCs w:val="21"/>
              </w:rPr>
              <w:t>版）》中</w:t>
            </w:r>
            <w:r>
              <w:rPr>
                <w:rFonts w:ascii="Times New Roman" w:eastAsia="仿宋_GB2312" w:hAnsi="Times New Roman" w:cs="Times New Roman"/>
                <w:spacing w:val="-2"/>
                <w:szCs w:val="21"/>
              </w:rPr>
              <w:t>HW08</w:t>
            </w:r>
            <w:r>
              <w:rPr>
                <w:rFonts w:ascii="Times New Roman" w:eastAsia="仿宋_GB2312" w:hAnsi="Times New Roman" w:cs="Times New Roman"/>
                <w:spacing w:val="-2"/>
                <w:szCs w:val="21"/>
              </w:rPr>
              <w:t>废矿物油与含矿物油废物类中的</w:t>
            </w:r>
            <w:r>
              <w:rPr>
                <w:rFonts w:ascii="Times New Roman" w:eastAsia="仿宋_GB2312" w:hAnsi="Times New Roman" w:cs="Times New Roman"/>
                <w:spacing w:val="-2"/>
                <w:szCs w:val="21"/>
              </w:rPr>
              <w:t>900-220-08</w:t>
            </w:r>
            <w:proofErr w:type="gramStart"/>
            <w:r>
              <w:rPr>
                <w:rFonts w:ascii="Times New Roman" w:eastAsia="仿宋_GB2312" w:hAnsi="Times New Roman" w:cs="Times New Roman"/>
                <w:spacing w:val="-2"/>
                <w:szCs w:val="21"/>
              </w:rPr>
              <w:t>号危险</w:t>
            </w:r>
            <w:proofErr w:type="gramEnd"/>
            <w:r>
              <w:rPr>
                <w:rFonts w:ascii="Times New Roman" w:eastAsia="仿宋_GB2312" w:hAnsi="Times New Roman" w:cs="Times New Roman"/>
                <w:spacing w:val="-2"/>
                <w:szCs w:val="21"/>
              </w:rPr>
              <w:t>废物，清理事故油池壁时产生的含油棉纱、手套属于《危险废物名录（</w:t>
            </w:r>
            <w:r>
              <w:rPr>
                <w:rFonts w:ascii="Times New Roman" w:eastAsia="仿宋_GB2312" w:hAnsi="Times New Roman" w:cs="Times New Roman"/>
                <w:spacing w:val="-2"/>
                <w:szCs w:val="21"/>
              </w:rPr>
              <w:t>2021</w:t>
            </w:r>
            <w:r>
              <w:rPr>
                <w:rFonts w:ascii="Times New Roman" w:eastAsia="仿宋_GB2312" w:hAnsi="Times New Roman" w:cs="Times New Roman"/>
                <w:spacing w:val="-2"/>
                <w:szCs w:val="21"/>
              </w:rPr>
              <w:t>版）》中</w:t>
            </w:r>
            <w:r>
              <w:rPr>
                <w:rFonts w:ascii="Times New Roman" w:eastAsia="仿宋_GB2312" w:hAnsi="Times New Roman" w:cs="Times New Roman"/>
                <w:spacing w:val="-2"/>
                <w:szCs w:val="21"/>
              </w:rPr>
              <w:t>HW08</w:t>
            </w:r>
            <w:r>
              <w:rPr>
                <w:rFonts w:ascii="Times New Roman" w:eastAsia="仿宋_GB2312" w:hAnsi="Times New Roman" w:cs="Times New Roman"/>
                <w:spacing w:val="-2"/>
                <w:szCs w:val="21"/>
              </w:rPr>
              <w:t>废矿物油与含矿物油废物类中</w:t>
            </w:r>
            <w:r>
              <w:rPr>
                <w:rFonts w:ascii="Times New Roman" w:eastAsia="仿宋_GB2312" w:hAnsi="Times New Roman" w:cs="Times New Roman"/>
                <w:spacing w:val="-2"/>
                <w:szCs w:val="21"/>
              </w:rPr>
              <w:t>900-249-08</w:t>
            </w:r>
            <w:proofErr w:type="gramStart"/>
            <w:r>
              <w:rPr>
                <w:rFonts w:ascii="Times New Roman" w:eastAsia="仿宋_GB2312" w:hAnsi="Times New Roman" w:cs="Times New Roman"/>
                <w:spacing w:val="-2"/>
                <w:szCs w:val="21"/>
              </w:rPr>
              <w:t>号危险</w:t>
            </w:r>
            <w:proofErr w:type="gramEnd"/>
            <w:r>
              <w:rPr>
                <w:rFonts w:ascii="Times New Roman" w:eastAsia="仿宋_GB2312" w:hAnsi="Times New Roman" w:cs="Times New Roman"/>
                <w:spacing w:val="-2"/>
                <w:szCs w:val="21"/>
              </w:rPr>
              <w:t>废物，上述危险废物如果处置不当，会对当地环境产生一定危害。</w:t>
            </w:r>
          </w:p>
          <w:p w14:paraId="53DFA1FC"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随着技术的进步和管理的</w:t>
            </w:r>
            <w:r>
              <w:rPr>
                <w:rFonts w:ascii="Times New Roman" w:eastAsia="仿宋_GB2312" w:hAnsi="Times New Roman" w:cs="Times New Roman"/>
                <w:spacing w:val="-2"/>
                <w:szCs w:val="21"/>
              </w:rPr>
              <w:t>科学化，变压器发生故障的可能性越来越少。</w:t>
            </w:r>
            <w:r>
              <w:rPr>
                <w:rFonts w:ascii="Times New Roman" w:eastAsia="仿宋_GB2312" w:hAnsi="Times New Roman" w:cs="Times New Roman"/>
                <w:szCs w:val="21"/>
              </w:rPr>
              <w:t>变电站</w:t>
            </w:r>
            <w:r>
              <w:rPr>
                <w:rFonts w:ascii="Times New Roman" w:eastAsia="仿宋_GB2312" w:hAnsi="Times New Roman" w:cs="Times New Roman"/>
                <w:spacing w:val="-2"/>
                <w:szCs w:val="21"/>
              </w:rPr>
              <w:t>事故时，变压器油排入事故油池。事故油大部分回收利用，不能回收的部分</w:t>
            </w:r>
            <w:proofErr w:type="gramStart"/>
            <w:r>
              <w:rPr>
                <w:rFonts w:ascii="Times New Roman" w:eastAsia="仿宋_GB2312" w:hAnsi="Times New Roman" w:cs="Times New Roman"/>
                <w:spacing w:val="-2"/>
                <w:szCs w:val="21"/>
              </w:rPr>
              <w:t>同清理</w:t>
            </w:r>
            <w:proofErr w:type="gramEnd"/>
            <w:r>
              <w:rPr>
                <w:rFonts w:ascii="Times New Roman" w:eastAsia="仿宋_GB2312" w:hAnsi="Times New Roman" w:cs="Times New Roman"/>
                <w:spacing w:val="-2"/>
                <w:szCs w:val="21"/>
              </w:rPr>
              <w:t>事故油池壁时的棉纱、手套和容器及时交由维修单位委托具有</w:t>
            </w:r>
            <w:proofErr w:type="gramStart"/>
            <w:r>
              <w:rPr>
                <w:rFonts w:ascii="Times New Roman" w:eastAsia="仿宋_GB2312" w:hAnsi="Times New Roman" w:cs="Times New Roman"/>
                <w:spacing w:val="-2"/>
                <w:szCs w:val="21"/>
              </w:rPr>
              <w:t>相关危废处置</w:t>
            </w:r>
            <w:proofErr w:type="gramEnd"/>
            <w:r>
              <w:rPr>
                <w:rFonts w:ascii="Times New Roman" w:eastAsia="仿宋_GB2312" w:hAnsi="Times New Roman" w:cs="Times New Roman"/>
                <w:spacing w:val="-2"/>
                <w:szCs w:val="21"/>
              </w:rPr>
              <w:t>资质的专业单位统一回收处理。</w:t>
            </w:r>
          </w:p>
          <w:p w14:paraId="16BAC726"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①</w:t>
            </w:r>
            <w:r>
              <w:rPr>
                <w:rFonts w:ascii="Times New Roman" w:eastAsia="仿宋_GB2312" w:hAnsi="Times New Roman" w:cs="Times New Roman"/>
                <w:spacing w:val="-2"/>
                <w:szCs w:val="21"/>
              </w:rPr>
              <w:t>在变压器废油及含油废物的收集、运输、贮存中应严格按照中华人民共和国国家环境保护标准《废矿物油回收利用污染控制技术规范》（</w:t>
            </w:r>
            <w:r>
              <w:rPr>
                <w:rFonts w:ascii="Times New Roman" w:eastAsia="仿宋_GB2312" w:hAnsi="Times New Roman" w:cs="Times New Roman"/>
                <w:spacing w:val="-2"/>
                <w:szCs w:val="21"/>
              </w:rPr>
              <w:t>HJ607-2011</w:t>
            </w:r>
            <w:r>
              <w:rPr>
                <w:rFonts w:ascii="Times New Roman" w:eastAsia="仿宋_GB2312" w:hAnsi="Times New Roman" w:cs="Times New Roman"/>
                <w:spacing w:val="-2"/>
                <w:szCs w:val="21"/>
              </w:rPr>
              <w:t>）中的相关要求进行；</w:t>
            </w:r>
          </w:p>
          <w:p w14:paraId="7E82D801"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②</w:t>
            </w:r>
            <w:r>
              <w:rPr>
                <w:rFonts w:ascii="Times New Roman" w:eastAsia="仿宋_GB2312" w:hAnsi="Times New Roman" w:cs="Times New Roman"/>
                <w:spacing w:val="-2"/>
                <w:szCs w:val="21"/>
              </w:rPr>
              <w:t>事故废油应在产生源处收集，收集容器应完好无损，没有腐蚀、污染、损毁或其他可能导致其使用效能减弱的缺陷，收集过程中产生含油棉、含油毡等</w:t>
            </w:r>
            <w:r>
              <w:rPr>
                <w:rFonts w:ascii="Times New Roman" w:eastAsia="仿宋_GB2312" w:hAnsi="Times New Roman" w:cs="Times New Roman"/>
                <w:spacing w:val="-2"/>
                <w:szCs w:val="21"/>
              </w:rPr>
              <w:t>应一并收集。</w:t>
            </w:r>
          </w:p>
          <w:p w14:paraId="4EEF633A"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③</w:t>
            </w:r>
            <w:r>
              <w:rPr>
                <w:rFonts w:ascii="Times New Roman" w:eastAsia="仿宋_GB2312" w:hAnsi="Times New Roman" w:cs="Times New Roman"/>
                <w:spacing w:val="-2"/>
                <w:szCs w:val="21"/>
              </w:rPr>
              <w:t>事故废油在转运前应制定突发环境事件应急预案，检查应按照《危险废物转移联单管理办法》的有关要求规定填写联单，核对品名、数量和标志等，检查转运设备和盛装容器的稳定性、严密性，确保运输途中不会破裂、倾倒和溢流；转运过程应设专人看护。危险废物转移建设单位应加强危险废物的管理，严禁随意露天堆放、随意倾倒和将危险固废混入一般固废中，以避免污染周边环境和防止发生泄漏污染地下水。</w:t>
            </w:r>
          </w:p>
          <w:p w14:paraId="67CE5661"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④</w:t>
            </w:r>
            <w:r>
              <w:rPr>
                <w:rFonts w:ascii="Times New Roman" w:eastAsia="仿宋_GB2312" w:hAnsi="Times New Roman" w:cs="Times New Roman"/>
                <w:spacing w:val="-2"/>
                <w:szCs w:val="21"/>
              </w:rPr>
              <w:t>事故废油应使用专用设施贮存，不应与不相容的废物混合，实行分类存放；贮存设施内地面应做防渗处理，并建设废油收集和导流系统，用于收集不慎泄漏的废油：容器应留有足够的膨胀余量，预留容积应不少于总容积的</w:t>
            </w:r>
            <w:r>
              <w:rPr>
                <w:rFonts w:ascii="Times New Roman" w:eastAsia="仿宋_GB2312" w:hAnsi="Times New Roman" w:cs="Times New Roman"/>
                <w:spacing w:val="-2"/>
                <w:szCs w:val="21"/>
              </w:rPr>
              <w:t>5%</w:t>
            </w:r>
            <w:r>
              <w:rPr>
                <w:rFonts w:ascii="Times New Roman" w:eastAsia="仿宋_GB2312" w:hAnsi="Times New Roman" w:cs="Times New Roman"/>
                <w:spacing w:val="-2"/>
                <w:szCs w:val="21"/>
              </w:rPr>
              <w:t>；贮存设施应远离火源，并避免高温和阳光直射；已盛装废油的容器应密封，贮油油罐应设置呼吸孔，防止气体膨胀，并安装防护罩，防止杂质落入。</w:t>
            </w:r>
          </w:p>
          <w:p w14:paraId="039A1F86"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⑤</w:t>
            </w:r>
            <w:r>
              <w:rPr>
                <w:rFonts w:ascii="Times New Roman" w:eastAsia="仿宋_GB2312" w:hAnsi="Times New Roman" w:cs="Times New Roman"/>
                <w:spacing w:val="-2"/>
                <w:szCs w:val="21"/>
              </w:rPr>
              <w:t>当</w:t>
            </w:r>
            <w:r>
              <w:rPr>
                <w:rFonts w:ascii="Times New Roman" w:eastAsia="仿宋_GB2312" w:hAnsi="Times New Roman" w:cs="Times New Roman"/>
                <w:szCs w:val="21"/>
              </w:rPr>
              <w:t>变电站</w:t>
            </w:r>
            <w:r>
              <w:rPr>
                <w:rFonts w:ascii="Times New Roman" w:eastAsia="仿宋_GB2312" w:hAnsi="Times New Roman" w:cs="Times New Roman"/>
                <w:spacing w:val="-2"/>
                <w:szCs w:val="21"/>
              </w:rPr>
              <w:t>出现事故时，变压器油产生的事故油先到储油坑后通过排油钢管引入事故油池。</w:t>
            </w:r>
            <w:proofErr w:type="gramStart"/>
            <w:r>
              <w:rPr>
                <w:rFonts w:ascii="Times New Roman" w:eastAsia="仿宋_GB2312" w:hAnsi="Times New Roman" w:cs="Times New Roman"/>
                <w:spacing w:val="-2"/>
                <w:szCs w:val="21"/>
              </w:rPr>
              <w:t>集油坑和</w:t>
            </w:r>
            <w:proofErr w:type="gramEnd"/>
            <w:r>
              <w:rPr>
                <w:rFonts w:ascii="Times New Roman" w:eastAsia="仿宋_GB2312" w:hAnsi="Times New Roman" w:cs="Times New Roman"/>
                <w:spacing w:val="-2"/>
                <w:szCs w:val="21"/>
              </w:rPr>
              <w:t>事故油池设置满足《变电所给水排水设计规程》（</w:t>
            </w:r>
            <w:r>
              <w:rPr>
                <w:rFonts w:ascii="Times New Roman" w:eastAsia="仿宋_GB2312" w:hAnsi="Times New Roman" w:cs="Times New Roman"/>
                <w:spacing w:val="-2"/>
                <w:szCs w:val="21"/>
              </w:rPr>
              <w:t>DL/T5413-2002</w:t>
            </w:r>
            <w:r>
              <w:rPr>
                <w:rFonts w:ascii="Times New Roman" w:eastAsia="仿宋_GB2312" w:hAnsi="Times New Roman" w:cs="Times New Roman"/>
                <w:spacing w:val="-2"/>
                <w:szCs w:val="21"/>
              </w:rPr>
              <w:t>）、《废矿物油回收利</w:t>
            </w:r>
            <w:r>
              <w:rPr>
                <w:rFonts w:ascii="Times New Roman" w:eastAsia="仿宋_GB2312" w:hAnsi="Times New Roman" w:cs="Times New Roman"/>
                <w:spacing w:val="-2"/>
                <w:szCs w:val="21"/>
              </w:rPr>
              <w:t>用污染控制技术规范》（</w:t>
            </w:r>
            <w:r>
              <w:rPr>
                <w:rFonts w:ascii="Times New Roman" w:eastAsia="仿宋_GB2312" w:hAnsi="Times New Roman" w:cs="Times New Roman"/>
                <w:spacing w:val="-2"/>
                <w:szCs w:val="21"/>
              </w:rPr>
              <w:t>HJ607-2011</w:t>
            </w:r>
            <w:r>
              <w:rPr>
                <w:rFonts w:ascii="Times New Roman" w:eastAsia="仿宋_GB2312" w:hAnsi="Times New Roman" w:cs="Times New Roman"/>
                <w:spacing w:val="-2"/>
                <w:szCs w:val="21"/>
              </w:rPr>
              <w:t>）和《危险废物收集贮运运输技术规范》（</w:t>
            </w:r>
            <w:r>
              <w:rPr>
                <w:rFonts w:ascii="Times New Roman" w:eastAsia="仿宋_GB2312" w:hAnsi="Times New Roman" w:cs="Times New Roman"/>
                <w:spacing w:val="-2"/>
                <w:szCs w:val="21"/>
              </w:rPr>
              <w:t>HJ2025-2012</w:t>
            </w:r>
            <w:r>
              <w:rPr>
                <w:rFonts w:ascii="Times New Roman" w:eastAsia="仿宋_GB2312" w:hAnsi="Times New Roman" w:cs="Times New Roman"/>
                <w:spacing w:val="-2"/>
                <w:szCs w:val="21"/>
              </w:rPr>
              <w:t>）规定。从已运行变电站调查来看，变电站主变发生事故的概率很小，即使主变发生事故时，事故也能得到妥善处理，环境风险小。</w:t>
            </w:r>
          </w:p>
          <w:p w14:paraId="3E6A239D" w14:textId="77777777" w:rsidR="00D2419B" w:rsidRDefault="00B3701E">
            <w:pPr>
              <w:spacing w:line="340" w:lineRule="exact"/>
              <w:rPr>
                <w:rFonts w:ascii="Times New Roman" w:eastAsia="仿宋_GB2312" w:hAnsi="Times New Roman" w:cs="Times New Roman"/>
                <w:spacing w:val="-2"/>
                <w:szCs w:val="21"/>
              </w:rPr>
            </w:pPr>
            <w:r>
              <w:rPr>
                <w:rFonts w:ascii="Times New Roman" w:eastAsia="仿宋_GB2312" w:hAnsi="Times New Roman" w:cs="Times New Roman"/>
                <w:spacing w:val="-2"/>
                <w:szCs w:val="21"/>
              </w:rPr>
              <w:t>⑥</w:t>
            </w:r>
            <w:proofErr w:type="gramStart"/>
            <w:r>
              <w:rPr>
                <w:rFonts w:ascii="Times New Roman" w:eastAsia="仿宋_GB2312" w:hAnsi="Times New Roman" w:cs="Times New Roman"/>
                <w:spacing w:val="-2"/>
                <w:szCs w:val="21"/>
              </w:rPr>
              <w:t>集油坑内应</w:t>
            </w:r>
            <w:proofErr w:type="gramEnd"/>
            <w:r>
              <w:rPr>
                <w:rFonts w:ascii="Times New Roman" w:eastAsia="仿宋_GB2312" w:hAnsi="Times New Roman" w:cs="Times New Roman"/>
                <w:spacing w:val="-2"/>
                <w:szCs w:val="21"/>
              </w:rPr>
              <w:t>铺设卵石层，其厚度不应小于</w:t>
            </w:r>
            <w:r>
              <w:rPr>
                <w:rFonts w:ascii="Times New Roman" w:eastAsia="仿宋_GB2312" w:hAnsi="Times New Roman" w:cs="Times New Roman"/>
                <w:spacing w:val="-2"/>
                <w:szCs w:val="21"/>
              </w:rPr>
              <w:t>250mm</w:t>
            </w:r>
            <w:r>
              <w:rPr>
                <w:rFonts w:ascii="Times New Roman" w:eastAsia="仿宋_GB2312" w:hAnsi="Times New Roman" w:cs="Times New Roman"/>
                <w:spacing w:val="-2"/>
                <w:szCs w:val="21"/>
              </w:rPr>
              <w:t>，卵石直径宜为</w:t>
            </w:r>
            <w:r>
              <w:rPr>
                <w:rFonts w:ascii="Times New Roman" w:eastAsia="仿宋_GB2312" w:hAnsi="Times New Roman" w:cs="Times New Roman"/>
                <w:spacing w:val="-2"/>
                <w:szCs w:val="21"/>
              </w:rPr>
              <w:t>50mm</w:t>
            </w: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80mm</w:t>
            </w:r>
            <w:r>
              <w:rPr>
                <w:rFonts w:ascii="Times New Roman" w:eastAsia="仿宋_GB2312" w:hAnsi="Times New Roman" w:cs="Times New Roman"/>
                <w:spacing w:val="-2"/>
                <w:szCs w:val="21"/>
              </w:rPr>
              <w:t>。铺设卵石，可起隔火降温作用，防止绝缘油燃烧扩散。卵石直径，根据国内的实践及参考国外规程可为</w:t>
            </w:r>
            <w:r>
              <w:rPr>
                <w:rFonts w:ascii="Times New Roman" w:eastAsia="仿宋_GB2312" w:hAnsi="Times New Roman" w:cs="Times New Roman"/>
                <w:spacing w:val="-2"/>
                <w:szCs w:val="21"/>
              </w:rPr>
              <w:t>50mm</w:t>
            </w:r>
            <w:r>
              <w:rPr>
                <w:rFonts w:ascii="Times New Roman" w:eastAsia="仿宋_GB2312" w:hAnsi="Times New Roman" w:cs="Times New Roman"/>
                <w:spacing w:val="-2"/>
                <w:szCs w:val="21"/>
              </w:rPr>
              <w:t>～</w:t>
            </w:r>
            <w:r>
              <w:rPr>
                <w:rFonts w:ascii="Times New Roman" w:eastAsia="仿宋_GB2312" w:hAnsi="Times New Roman" w:cs="Times New Roman"/>
                <w:spacing w:val="-2"/>
                <w:szCs w:val="21"/>
              </w:rPr>
              <w:t>80mm</w:t>
            </w:r>
            <w:r>
              <w:rPr>
                <w:rFonts w:ascii="Times New Roman" w:eastAsia="仿宋_GB2312" w:hAnsi="Times New Roman" w:cs="Times New Roman"/>
                <w:spacing w:val="-2"/>
                <w:szCs w:val="21"/>
              </w:rPr>
              <w:t>，</w:t>
            </w:r>
            <w:proofErr w:type="gramStart"/>
            <w:r>
              <w:rPr>
                <w:rFonts w:ascii="Times New Roman" w:eastAsia="仿宋_GB2312" w:hAnsi="Times New Roman" w:cs="Times New Roman"/>
                <w:spacing w:val="-2"/>
                <w:szCs w:val="21"/>
              </w:rPr>
              <w:t>若当地无</w:t>
            </w:r>
            <w:proofErr w:type="gramEnd"/>
            <w:r>
              <w:rPr>
                <w:rFonts w:ascii="Times New Roman" w:eastAsia="仿宋_GB2312" w:hAnsi="Times New Roman" w:cs="Times New Roman"/>
                <w:spacing w:val="-2"/>
                <w:szCs w:val="21"/>
              </w:rPr>
              <w:t>卵石，也可采用无孔碎石。为了加快绝缘油穿过卵石层渗入油池，并在排至</w:t>
            </w:r>
            <w:proofErr w:type="gramStart"/>
            <w:r>
              <w:rPr>
                <w:rFonts w:ascii="Times New Roman" w:eastAsia="仿宋_GB2312" w:hAnsi="Times New Roman" w:cs="Times New Roman"/>
                <w:spacing w:val="-2"/>
                <w:szCs w:val="21"/>
              </w:rPr>
              <w:t>集油坑时</w:t>
            </w:r>
            <w:proofErr w:type="gramEnd"/>
            <w:r>
              <w:rPr>
                <w:rFonts w:ascii="Times New Roman" w:eastAsia="仿宋_GB2312" w:hAnsi="Times New Roman" w:cs="Times New Roman"/>
                <w:spacing w:val="-2"/>
                <w:szCs w:val="21"/>
              </w:rPr>
              <w:t>绝缘油液面不致超过</w:t>
            </w:r>
            <w:r>
              <w:rPr>
                <w:rFonts w:ascii="Times New Roman" w:eastAsia="仿宋_GB2312" w:hAnsi="Times New Roman" w:cs="Times New Roman"/>
                <w:spacing w:val="-2"/>
                <w:szCs w:val="21"/>
              </w:rPr>
              <w:t>卵石层。卵石层下应有足够的空间容纳设备</w:t>
            </w:r>
            <w:r>
              <w:rPr>
                <w:rFonts w:ascii="Times New Roman" w:eastAsia="仿宋_GB2312" w:hAnsi="Times New Roman" w:cs="Times New Roman"/>
                <w:spacing w:val="-2"/>
                <w:szCs w:val="21"/>
              </w:rPr>
              <w:t>20%</w:t>
            </w:r>
            <w:r>
              <w:rPr>
                <w:rFonts w:ascii="Times New Roman" w:eastAsia="仿宋_GB2312" w:hAnsi="Times New Roman" w:cs="Times New Roman"/>
                <w:spacing w:val="-2"/>
                <w:szCs w:val="21"/>
              </w:rPr>
              <w:t>的油量。通过以上措施，事故废油、含油废物均能得到妥善处理，对环境影响很小。</w:t>
            </w:r>
          </w:p>
        </w:tc>
      </w:tr>
    </w:tbl>
    <w:p w14:paraId="7DCA180E" w14:textId="77777777" w:rsidR="00D2419B" w:rsidRDefault="00D2419B">
      <w:pPr>
        <w:jc w:val="center"/>
        <w:rPr>
          <w:rFonts w:ascii="黑体" w:eastAsia="黑体" w:hAnsi="黑体" w:cs="黑体"/>
          <w:sz w:val="28"/>
          <w:szCs w:val="28"/>
        </w:rPr>
      </w:pPr>
    </w:p>
    <w:sectPr w:rsidR="00D2419B">
      <w:pgSz w:w="23811" w:h="16838" w:orient="landscape"/>
      <w:pgMar w:top="1417" w:right="1417" w:bottom="1417" w:left="1417" w:header="851" w:footer="1247"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81C45" w14:textId="77777777" w:rsidR="00B3701E" w:rsidRDefault="00B3701E" w:rsidP="00C2322A">
      <w:r>
        <w:separator/>
      </w:r>
    </w:p>
  </w:endnote>
  <w:endnote w:type="continuationSeparator" w:id="0">
    <w:p w14:paraId="54D71C1E" w14:textId="77777777" w:rsidR="00B3701E" w:rsidRDefault="00B3701E" w:rsidP="00C2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03EB5" w14:textId="77777777" w:rsidR="00B3701E" w:rsidRDefault="00B3701E" w:rsidP="00C2322A">
      <w:r>
        <w:separator/>
      </w:r>
    </w:p>
  </w:footnote>
  <w:footnote w:type="continuationSeparator" w:id="0">
    <w:p w14:paraId="1360C353" w14:textId="77777777" w:rsidR="00B3701E" w:rsidRDefault="00B3701E" w:rsidP="00C23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860F8C"/>
    <w:multiLevelType w:val="singleLevel"/>
    <w:tmpl w:val="90860F8C"/>
    <w:lvl w:ilvl="0">
      <w:start w:val="1"/>
      <w:numFmt w:val="decimal"/>
      <w:suff w:val="nothing"/>
      <w:lvlText w:val="（%1）"/>
      <w:lvlJc w:val="left"/>
    </w:lvl>
  </w:abstractNum>
  <w:abstractNum w:abstractNumId="1">
    <w:nsid w:val="1B6A7952"/>
    <w:multiLevelType w:val="singleLevel"/>
    <w:tmpl w:val="1B6A7952"/>
    <w:lvl w:ilvl="0">
      <w:start w:val="1"/>
      <w:numFmt w:val="decimal"/>
      <w:suff w:val="nothing"/>
      <w:lvlText w:val="（%1）"/>
      <w:lvlJc w:val="left"/>
    </w:lvl>
  </w:abstractNum>
  <w:abstractNum w:abstractNumId="2">
    <w:nsid w:val="1C08083B"/>
    <w:multiLevelType w:val="multilevel"/>
    <w:tmpl w:val="1C08083B"/>
    <w:lvl w:ilvl="0">
      <w:start w:val="1"/>
      <w:numFmt w:val="decimal"/>
      <w:pStyle w:val="2"/>
      <w:lvlText w:val="%1.1"/>
      <w:lvlJc w:val="left"/>
      <w:pPr>
        <w:ind w:left="425" w:hanging="425"/>
      </w:pPr>
      <w:rPr>
        <w:rFonts w:eastAsia="Times New Roman"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BB2BFEB"/>
    <w:multiLevelType w:val="multilevel"/>
    <w:tmpl w:val="4BB2BFEB"/>
    <w:lvl w:ilvl="0">
      <w:start w:val="1"/>
      <w:numFmt w:val="decimal"/>
      <w:pStyle w:val="3"/>
      <w:lvlText w:val="%1.1.1"/>
      <w:lvlJc w:val="left"/>
      <w:pPr>
        <w:ind w:left="425" w:hanging="425"/>
      </w:pPr>
      <w:rPr>
        <w:rFonts w:eastAsia="Times New Roman"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aveSubsetFonts/>
  <w:bordersDoNotSurroundHeader/>
  <w:bordersDoNotSurroundFooter/>
  <w:proofState w:spelling="clean" w:grammar="clean"/>
  <w:defaultTabStop w:val="420"/>
  <w:drawingGridHorizontalSpacing w:val="210"/>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2NWIwNTEwNjQ1MjFmN2ZlODU3Yzg4NWMzZDUwYjYifQ=="/>
  </w:docVars>
  <w:rsids>
    <w:rsidRoot w:val="58443C98"/>
    <w:rsid w:val="00B3701E"/>
    <w:rsid w:val="00C2322A"/>
    <w:rsid w:val="00D2419B"/>
    <w:rsid w:val="21CF5EB2"/>
    <w:rsid w:val="366A6F34"/>
    <w:rsid w:val="36AA0CBD"/>
    <w:rsid w:val="3A247C6F"/>
    <w:rsid w:val="49B30FE6"/>
    <w:rsid w:val="58443C98"/>
    <w:rsid w:val="595F1237"/>
    <w:rsid w:val="72564443"/>
    <w:rsid w:val="7723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keepNext/>
      <w:keepLines/>
      <w:numPr>
        <w:numId w:val="1"/>
      </w:numPr>
      <w:spacing w:before="260" w:after="260" w:line="413" w:lineRule="auto"/>
      <w:outlineLvl w:val="1"/>
    </w:pPr>
    <w:rPr>
      <w:rFonts w:ascii="Arial" w:eastAsia="宋体" w:hAnsi="Arial" w:cs="Arial"/>
      <w:b/>
      <w:snapToGrid w:val="0"/>
      <w:color w:val="000000"/>
      <w:kern w:val="0"/>
      <w:sz w:val="32"/>
      <w:szCs w:val="21"/>
      <w:lang w:eastAsia="en-US"/>
    </w:rPr>
  </w:style>
  <w:style w:type="paragraph" w:styleId="3">
    <w:name w:val="heading 3"/>
    <w:basedOn w:val="a"/>
    <w:next w:val="a"/>
    <w:semiHidden/>
    <w:unhideWhenUsed/>
    <w:qFormat/>
    <w:pPr>
      <w:keepNext/>
      <w:keepLines/>
      <w:numPr>
        <w:numId w:val="2"/>
      </w:numPr>
      <w:spacing w:before="260" w:after="260" w:line="413" w:lineRule="auto"/>
      <w:outlineLvl w:val="2"/>
    </w:pPr>
    <w:rPr>
      <w:rFonts w:ascii="Times New Roman" w:hAnsi="Times New Roman" w:cs="Arial"/>
      <w:b/>
      <w:snapToGrid w:val="0"/>
      <w:color w:val="000000"/>
      <w:kern w:val="0"/>
      <w:sz w:val="28"/>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题主"/>
    <w:basedOn w:val="a"/>
    <w:qFormat/>
    <w:pPr>
      <w:spacing w:afterLines="50" w:after="50"/>
      <w:jc w:val="center"/>
    </w:pPr>
    <w:rPr>
      <w:rFonts w:ascii="Times New Roman" w:eastAsia="黑体" w:hAnsi="Times New Roman" w:cs="Arial" w:hint="eastAsia"/>
      <w:snapToGrid w:val="0"/>
      <w:color w:val="000000"/>
      <w:kern w:val="0"/>
      <w:szCs w:val="21"/>
      <w:lang w:eastAsia="en-US"/>
    </w:rPr>
  </w:style>
  <w:style w:type="paragraph" w:styleId="a5">
    <w:name w:val="header"/>
    <w:basedOn w:val="a"/>
    <w:link w:val="Char"/>
    <w:rsid w:val="00C23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2322A"/>
    <w:rPr>
      <w:kern w:val="2"/>
      <w:sz w:val="18"/>
      <w:szCs w:val="18"/>
    </w:rPr>
  </w:style>
  <w:style w:type="paragraph" w:styleId="a6">
    <w:name w:val="footer"/>
    <w:basedOn w:val="a"/>
    <w:link w:val="Char0"/>
    <w:rsid w:val="00C2322A"/>
    <w:pPr>
      <w:tabs>
        <w:tab w:val="center" w:pos="4153"/>
        <w:tab w:val="right" w:pos="8306"/>
      </w:tabs>
      <w:snapToGrid w:val="0"/>
      <w:jc w:val="left"/>
    </w:pPr>
    <w:rPr>
      <w:sz w:val="18"/>
      <w:szCs w:val="18"/>
    </w:rPr>
  </w:style>
  <w:style w:type="character" w:customStyle="1" w:styleId="Char0">
    <w:name w:val="页脚 Char"/>
    <w:basedOn w:val="a0"/>
    <w:link w:val="a6"/>
    <w:rsid w:val="00C2322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keepNext/>
      <w:keepLines/>
      <w:numPr>
        <w:numId w:val="1"/>
      </w:numPr>
      <w:spacing w:before="260" w:after="260" w:line="413" w:lineRule="auto"/>
      <w:outlineLvl w:val="1"/>
    </w:pPr>
    <w:rPr>
      <w:rFonts w:ascii="Arial" w:eastAsia="宋体" w:hAnsi="Arial" w:cs="Arial"/>
      <w:b/>
      <w:snapToGrid w:val="0"/>
      <w:color w:val="000000"/>
      <w:kern w:val="0"/>
      <w:sz w:val="32"/>
      <w:szCs w:val="21"/>
      <w:lang w:eastAsia="en-US"/>
    </w:rPr>
  </w:style>
  <w:style w:type="paragraph" w:styleId="3">
    <w:name w:val="heading 3"/>
    <w:basedOn w:val="a"/>
    <w:next w:val="a"/>
    <w:semiHidden/>
    <w:unhideWhenUsed/>
    <w:qFormat/>
    <w:pPr>
      <w:keepNext/>
      <w:keepLines/>
      <w:numPr>
        <w:numId w:val="2"/>
      </w:numPr>
      <w:spacing w:before="260" w:after="260" w:line="413" w:lineRule="auto"/>
      <w:outlineLvl w:val="2"/>
    </w:pPr>
    <w:rPr>
      <w:rFonts w:ascii="Times New Roman" w:hAnsi="Times New Roman" w:cs="Arial"/>
      <w:b/>
      <w:snapToGrid w:val="0"/>
      <w:color w:val="000000"/>
      <w:kern w:val="0"/>
      <w:sz w:val="28"/>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题主"/>
    <w:basedOn w:val="a"/>
    <w:qFormat/>
    <w:pPr>
      <w:spacing w:afterLines="50" w:after="50"/>
      <w:jc w:val="center"/>
    </w:pPr>
    <w:rPr>
      <w:rFonts w:ascii="Times New Roman" w:eastAsia="黑体" w:hAnsi="Times New Roman" w:cs="Arial" w:hint="eastAsia"/>
      <w:snapToGrid w:val="0"/>
      <w:color w:val="000000"/>
      <w:kern w:val="0"/>
      <w:szCs w:val="21"/>
      <w:lang w:eastAsia="en-US"/>
    </w:rPr>
  </w:style>
  <w:style w:type="paragraph" w:styleId="a5">
    <w:name w:val="header"/>
    <w:basedOn w:val="a"/>
    <w:link w:val="Char"/>
    <w:rsid w:val="00C23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2322A"/>
    <w:rPr>
      <w:kern w:val="2"/>
      <w:sz w:val="18"/>
      <w:szCs w:val="18"/>
    </w:rPr>
  </w:style>
  <w:style w:type="paragraph" w:styleId="a6">
    <w:name w:val="footer"/>
    <w:basedOn w:val="a"/>
    <w:link w:val="Char0"/>
    <w:rsid w:val="00C2322A"/>
    <w:pPr>
      <w:tabs>
        <w:tab w:val="center" w:pos="4153"/>
        <w:tab w:val="right" w:pos="8306"/>
      </w:tabs>
      <w:snapToGrid w:val="0"/>
      <w:jc w:val="left"/>
    </w:pPr>
    <w:rPr>
      <w:sz w:val="18"/>
      <w:szCs w:val="18"/>
    </w:rPr>
  </w:style>
  <w:style w:type="character" w:customStyle="1" w:styleId="Char0">
    <w:name w:val="页脚 Char"/>
    <w:basedOn w:val="a0"/>
    <w:link w:val="a6"/>
    <w:rsid w:val="00C232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4638</Characters>
  <Application>Microsoft Office Word</Application>
  <DocSecurity>0</DocSecurity>
  <Lines>38</Lines>
  <Paragraphs>10</Paragraphs>
  <ScaleCrop>false</ScaleCrop>
  <Company>ICOS</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杜青</cp:lastModifiedBy>
  <cp:revision>2</cp:revision>
  <cp:lastPrinted>2024-11-14T07:22:00Z</cp:lastPrinted>
  <dcterms:created xsi:type="dcterms:W3CDTF">2024-11-14T08:02:00Z</dcterms:created>
  <dcterms:modified xsi:type="dcterms:W3CDTF">2024-11-14T08:02:00Z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C63EAC5C73684D42BFFA1260AD625AB0_13</vt:lpwstr>
  </property>
</Properties>
</file>