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936" w:tblpY="2455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00"/>
        <w:gridCol w:w="716"/>
        <w:gridCol w:w="717"/>
        <w:gridCol w:w="646"/>
        <w:gridCol w:w="2268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项目名称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建设地点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建设单位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环境影响评价机构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项目概况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主要环境影响及预防或者减轻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达州市开江星源煤矿扩建工程项目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spacing w:val="4"/>
              </w:rPr>
              <w:t>达州市</w:t>
            </w:r>
            <w:r>
              <w:t>开江县广福镇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spacing w:val="-3"/>
              </w:rPr>
              <w:t>达州市开江星源煤矿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成都嘉卓源环保工程咨询有限责任公司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项目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eastAsia="zh-CN"/>
              </w:rPr>
              <w:t>性质为改扩建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，采矿规模由9万吨/a扩建为30万吨/a，服务年限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a。矿区面积4.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8664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km²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批准开采</w:t>
            </w:r>
            <w:r>
              <w:rPr>
                <w:vertAlign w:val="baseline"/>
              </w:rPr>
              <w:t>K1、K2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煤层，</w:t>
            </w:r>
            <w:r>
              <w:rPr>
                <w:rFonts w:hint="eastAsia" w:cs="Times New Roman" w:eastAsiaTheme="minorEastAsia"/>
                <w:lang w:val="en-US" w:eastAsia="zh-CN"/>
              </w:rPr>
              <w:t>开采深度</w:t>
            </w:r>
            <w:r>
              <w:t>+780～+150m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。本工程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扩建后采用</w:t>
            </w:r>
            <w:r>
              <w:rPr>
                <w:rFonts w:hint="eastAsia"/>
              </w:rPr>
              <w:t>斜井+平硐综合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开拓方式，矿井共划分1个+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0m水平，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个采区。项目利用原有工业场地，不新增占地。扩建工程完成后，采取走向长壁采煤法，后退式回采，综采工艺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eastAsia="zh-CN"/>
              </w:rPr>
              <w:t>。项目</w:t>
            </w:r>
            <w:r>
              <w:t>改造利用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t>+529m主斜井并延深至+230m标高作为扩建后主斜井，兼一采区的运输人行上山</w:t>
            </w:r>
            <w:r>
              <w:rPr>
                <w:rFonts w:hint="eastAsia"/>
                <w:lang w:eastAsia="zh-CN"/>
              </w:rPr>
              <w:t>，担负全矿井煤炭、人员运输及管线敷设和进风等任务；现有</w:t>
            </w:r>
            <w:r>
              <w:rPr>
                <w:rFonts w:hint="eastAsia"/>
              </w:rPr>
              <w:t>+529m副平硐内</w:t>
            </w:r>
            <w:r>
              <w:t>人行暗斜井上部平巷延伸至地面作扩建后副平硐</w:t>
            </w:r>
            <w:r>
              <w:rPr>
                <w:rFonts w:hint="eastAsia"/>
                <w:lang w:eastAsia="zh-CN"/>
              </w:rPr>
              <w:t>，</w:t>
            </w:r>
            <w:r>
              <w:t>并延深至+250m标高作为扩建后轨道暗斜井</w:t>
            </w:r>
            <w:r>
              <w:rPr>
                <w:rFonts w:hint="eastAsia"/>
              </w:rPr>
              <w:t>兼作一采区轨道上山</w:t>
            </w:r>
            <w:r>
              <w:rPr>
                <w:rFonts w:hint="eastAsia"/>
                <w:lang w:eastAsia="zh-CN"/>
              </w:rPr>
              <w:t>，担负全矿井矸石、材料、设备等提升运输、进风、排水等任务；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t>+585m西回风平硐</w:t>
            </w:r>
            <w:r>
              <w:rPr>
                <w:rFonts w:hint="eastAsia"/>
                <w:lang w:eastAsia="zh-CN"/>
              </w:rPr>
              <w:t>作</w:t>
            </w:r>
            <w:r>
              <w:t>扩建后1号回风平硐</w:t>
            </w:r>
            <w:r>
              <w:rPr>
                <w:rFonts w:hint="eastAsia"/>
                <w:lang w:eastAsia="zh-CN"/>
              </w:rPr>
              <w:t>，</w:t>
            </w:r>
            <w:r>
              <w:t>担负矿井一采区的回风兼作紧急情况下的安全出口</w:t>
            </w:r>
            <w:r>
              <w:rPr>
                <w:rFonts w:hint="eastAsia"/>
                <w:lang w:eastAsia="zh-CN"/>
              </w:rPr>
              <w:t>；现有</w:t>
            </w:r>
            <w:r>
              <w:t>+525m北回风平硐作扩建后的2号回风平硐，担负矿井北翼二采区的回风兼作紧急情况下的安全出口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t>+784m南回风平硐作扩建后的3号回风平硐，担负矿井南翼三采区的回风兼作紧急情况下的安全出口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t>+547m北副平硐作扩建后北安全出口，担负矿井北翼二采区的辅助进风及安全出口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t>+661m南副平硐作扩建后南安全出口，担负矿井南翼三、四采区的辅助进风及安全出口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zh-CN"/>
              </w:rPr>
              <w:t>项目新建2套矿井涌水处理设施、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1套</w:t>
            </w:r>
            <w:r>
              <w:rPr>
                <w:rFonts w:hint="eastAsia" w:cs="Times New Roman" w:eastAsiaTheme="minorEastAsia"/>
                <w:sz w:val="21"/>
                <w:szCs w:val="21"/>
                <w:lang w:val="zh-CN"/>
              </w:rPr>
              <w:t>一体化生活污水处理设备、食堂隔油池、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综采库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1座生产水池、</w:t>
            </w:r>
            <w:r>
              <w:rPr>
                <w:bCs/>
                <w:sz w:val="21"/>
                <w:szCs w:val="21"/>
              </w:rPr>
              <w:t>封闭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堆煤场与矸石翻车机房、</w:t>
            </w:r>
            <w:r>
              <w:rPr>
                <w:rFonts w:hint="eastAsia" w:cs="Times New Roman" w:eastAsiaTheme="minorEastAsia"/>
                <w:sz w:val="21"/>
                <w:szCs w:val="21"/>
                <w:lang w:val="zh-CN"/>
              </w:rPr>
              <w:t>瓦斯抽采站、皮带输送机</w:t>
            </w:r>
            <w:r>
              <w:rPr>
                <w:rFonts w:hint="eastAsia"/>
                <w:sz w:val="21"/>
                <w:szCs w:val="21"/>
                <w:lang w:eastAsia="zh-CN"/>
              </w:rPr>
              <w:t>、车辆冲洗废水</w:t>
            </w:r>
            <w:r>
              <w:rPr>
                <w:rFonts w:hint="eastAsia"/>
                <w:color w:val="auto"/>
                <w:sz w:val="21"/>
                <w:szCs w:val="21"/>
              </w:rPr>
              <w:t>隔油沉淀池</w:t>
            </w:r>
            <w:r>
              <w:rPr>
                <w:rFonts w:hint="eastAsia" w:cs="Times New Roman" w:eastAsiaTheme="minorEastAsia"/>
                <w:sz w:val="21"/>
                <w:szCs w:val="21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项目总投资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4961.73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，其中环保投资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292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万元，占总投资的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5.89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%。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一、施工期环境保护措施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）废水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井巷涌水和地面生产废水收集后进入矿井涌水处理站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，采用“隔油+混凝沉淀+过滤+消毒”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处理达标后部分用泵抽至高位水池用于井下降尘使用，其余处理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达标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后排入双河口溪河。生活污水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经过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一体化污水处理设施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采用“格栅+调节+A2/O+二沉池+消毒”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处理达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后用于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工业场地降尘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，不外排。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）废气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采取洒水降尘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物料堆场密目网遮盖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限制车速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避免超载，运输过程采用篷布遮盖等措施减少粉尘产生，地下施工主要采用湿法作业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auto"/>
              </w:rPr>
              <w:t>，湿式钻孔、冲洗井壁巷帮、水炮泥、爆破喷雾、装岩（煤）洒水和净化风流等防尘措施。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（3）噪声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尽量选用低噪声设备，优化平面布局，使高噪声设备远离环境敏感点。合理安排施工时间，禁止夜间施工；合理安排施工工序，避免大量高噪声设备同时施工。运输车辆限速行驶，控制汽车鸣笛。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（4）固废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地面施工产生土石方用于厂区平整回填；巷道掘进矸石尽量回填采空区，不能回填采空区的矸石从封闭的矸石翻车机房内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>外运综合利用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，不外排。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建筑垃圾回收利用后剩余部分送指定建筑垃圾处理场。生活垃圾经集中收集后由环卫部门统一清运处理。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（5）生态治理措施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项目在现有范围内建设，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合理安排施工工期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，严格控制施工范围，减少土壤扰动和地表植被破坏，优化施工方案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减轻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水土流失；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施工期结束后须结合区域自然条件，及时对临时占地进行植被恢复，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降低生态环境影响。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二、营运期环境保护措施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（1）废水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矿井涌水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采用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2套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000m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/d一体化水处理装置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处理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采用“隔油+混凝沉淀+过滤+消毒”工艺处理达标后优先回用于井下降尘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其余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部分达到《煤炭工业污染物排放标准》（GB20426-2006）表1中有毒污染物排放限值和表2的新建（扩、改）生产线的排放浓度限值以及《地表水环境质量标准》（GB3838-2002）中III类限值，且含盐量小于1000mg/L的限制要求后外排，同时在排口安装在线监测设备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食堂废水隔油处理后和其他生活污水一并进入化粪池，再经生活污水处理站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处理能力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d）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采用“格栅+调节+A2/O +二沉池+消毒”工艺处理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达到《煤矿井下消防、洒水设计规范》（GB 50383-2016）中“井下消防、洒水水质标准”和《城市污水再生利用城市杂用水水质》（GB/T18920-2020）中相应标准限值要求后，回用于工业广场地面绿化、防尘洒水及车辆冲洗等，不外排</w:t>
            </w:r>
            <w:bookmarkStart w:id="0" w:name="_GoBack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车辆冲洗废水经5m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沉淀池隔油、沉淀后循环使用，不外排。机修废水经1m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隔油池处理后用于机修间周边区域降尘，不外排。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初期雨水收集后进经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0m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沉淀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处理后回用，不外排。</w:t>
            </w:r>
          </w:p>
          <w:bookmarkEnd w:id="0"/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（2）废气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420" w:firstLineChars="200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堆煤场</w:t>
            </w: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矸石翻车机房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建成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封闭式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煤炭皮带输送通道全封闭</w:t>
            </w: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煤炭卸料口</w:t>
            </w: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堆煤场内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矸石翻倒处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矸石翻车机房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等区域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喷雾降尘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。+529m回风平硐工业场地内设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瓦斯抽采泵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房，</w:t>
            </w: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抽出瓦斯经8m高排气筒排放，泵站设置地面固定瓦斯抽采监控系统监控排放情况。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井下钻孔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湿式作业，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采掘工作面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、坑木加工房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等作业地点喷雾洒水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各装载点采取喷雾降尘措施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工作面机巷、工作面回风巷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中设置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净化水幕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控制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运煤、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运矸汽车的装载量，严禁超载，并加盖蓬布；运输道路定期洒水、清扫，减少道路扬尘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车辆出场进行冲洗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食堂油烟由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油烟净化器收集处理后引至屋顶排放。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（3）噪声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合理布局工业场地，选用低噪声设备，对各类设备设置减振基础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同时完善工业场地绿化降噪；空压机进、出口安装消声器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房屋结构隔声；机修设备等高噪声设备置于室内，利用建筑物隔声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夜间不工作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；坑木房设减震措施，厂房隔声，夜间不工作；堆煤场、矸石翻车机房夜间不运输；提升机房设隔声控制室，对主机、电机安装隔声罩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确保厂界噪声达标排放。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（4）固体废物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煤矸石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矸石翻车机房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卸载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外售综合利用，不外排；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生活垃圾、生活污水处理站污泥、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木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工房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边角料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集中收集后送环卫部门清运处理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；矿井涌水处理站煤泥定期清运并压滤脱水后出售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废矿灯、废锂电池由厂家回收处理；废机油、废油桶、含油零件及抹布手套暂存于危废间，定期交有资质单位处理。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（5）地下水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坚持“源头控制、分区防治、污染监控、应急响应”的原则，对危废暂存间、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机修车间、油库、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矿井水处理站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、生活污水处理站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等采取重点防渗，防止污染地下水。布设地下水跟踪监测点，对区内地下水水位与水质进行动态监测，一旦发现水位和水质异常，应立刻采取有效措施，避免对周边居民生产生活用水造成影响。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（6）生态环境影响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山开采过程中，尽量减小和有效控制对采矿区生态环境的影响范围和程度，禁止越界、越层开采。因地制宜地对各类施工迹地进行绿化恢复，对生产过程中的污染物规范处置，防止造成对爬行类、两栖类动物本身及栖息环境的破坏和污染，加强对职工的监管力度，防止捕食爬行动物、两栖动物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三、环境风险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项目可能产生的环境风险有：矿井涌水处理设施非正常工况下或事故排放、油类物质泄露。采取的主要防范措施：强化矿井涌水水处理设施维护和保养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设置井下水仓，用于暂存突增矿井涌水；危废暂存间、机修车间地面进行重点防渗处理，并设立标志，加强巡检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油库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地面进行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防渗处理，设置收集沟和收集池，油品储罐下方垫高约10cm，下方设置托盘，油库外设置消防水池、消防沙池、消防栓等灭火设施。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四、公众参与情况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项目进行了两次网络公示、两次报纸公示及现场张贴公示以及一次报批前公示，均未收到反对意见。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五、其他部门意见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1、四川省应急管理厅《四川省应急管理厅关于核准</w:t>
            </w:r>
            <w:r>
              <w:rPr>
                <w:rFonts w:hint="eastAsia" w:asci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达州市开江星源</w:t>
            </w: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煤矿扩建工程项目的函》（川应急审批〔2023〕18</w:t>
            </w:r>
            <w:r>
              <w:rPr>
                <w:rFonts w:hint="eastAsia" w:asci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号）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VlMzNjZDAwZmU0YjI4MDYyYTcwNjRiYTUzYmFlNDYifQ=="/>
  </w:docVars>
  <w:rsids>
    <w:rsidRoot w:val="00000000"/>
    <w:rsid w:val="0FEF2EDF"/>
    <w:rsid w:val="370116CC"/>
    <w:rsid w:val="3FF1B5F3"/>
    <w:rsid w:val="6A334ED5"/>
    <w:rsid w:val="6E1D16EC"/>
    <w:rsid w:val="75D230F6"/>
    <w:rsid w:val="7A2B0486"/>
    <w:rsid w:val="7B4EABF0"/>
    <w:rsid w:val="7B9F7E2D"/>
    <w:rsid w:val="7F74ACB2"/>
    <w:rsid w:val="8BCF3E7A"/>
    <w:rsid w:val="A7DF81D0"/>
    <w:rsid w:val="B3FF0209"/>
    <w:rsid w:val="D39A8968"/>
    <w:rsid w:val="ECF76014"/>
    <w:rsid w:val="F2FBA670"/>
    <w:rsid w:val="F5FF5227"/>
    <w:rsid w:val="F737C352"/>
    <w:rsid w:val="FE8E3403"/>
    <w:rsid w:val="FEDF4D02"/>
    <w:rsid w:val="FFF6F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after="120" w:line="360" w:lineRule="auto"/>
      <w:ind w:left="400" w:leftChars="200" w:hanging="200" w:hangingChars="200"/>
    </w:pPr>
    <w:rPr>
      <w:kern w:val="0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2670</Words>
  <Characters>2851</Characters>
  <Lines>109</Lines>
  <Paragraphs>53</Paragraphs>
  <TotalTime>13</TotalTime>
  <ScaleCrop>false</ScaleCrop>
  <LinksUpToDate>false</LinksUpToDate>
  <CharactersWithSpaces>2870</CharactersWithSpaces>
  <Application>WPS Office_11.1.0.11704_F1E327BC-269C-435d-A152-05C5408002CA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2023-08-08T13:36:00Z</dcterms:created>
  <dc:creator>木林之风@</dc:creator>
  <cp:lastModifiedBy>user</cp:lastModifiedBy>
  <dcterms:modified xsi:type="dcterms:W3CDTF">2023-12-22T16:53:17Z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9C59C17075C340B2A57F718889B9E0E8_13</vt:lpwstr>
  </property>
</Properties>
</file>