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5000" w:type="pct"/>
        <w:tblLook w:val="04A0" w:firstRow="1" w:lastRow="0" w:firstColumn="1" w:lastColumn="0" w:noHBand="0" w:noVBand="1"/>
      </w:tblPr>
      <w:tblGrid>
        <w:gridCol w:w="743"/>
        <w:gridCol w:w="672"/>
        <w:gridCol w:w="707"/>
        <w:gridCol w:w="710"/>
        <w:gridCol w:w="1132"/>
        <w:gridCol w:w="1845"/>
        <w:gridCol w:w="8859"/>
      </w:tblGrid>
      <w:tr w:rsidR="00076A93">
        <w:tc>
          <w:tcPr>
            <w:tcW w:w="253"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序号</w:t>
            </w:r>
          </w:p>
        </w:tc>
        <w:tc>
          <w:tcPr>
            <w:tcW w:w="229"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项目名称</w:t>
            </w:r>
          </w:p>
        </w:tc>
        <w:tc>
          <w:tcPr>
            <w:tcW w:w="241"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建设地点</w:t>
            </w:r>
          </w:p>
        </w:tc>
        <w:tc>
          <w:tcPr>
            <w:tcW w:w="242"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建设单位</w:t>
            </w:r>
          </w:p>
        </w:tc>
        <w:tc>
          <w:tcPr>
            <w:tcW w:w="386"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环境影响评价机构</w:t>
            </w:r>
          </w:p>
        </w:tc>
        <w:tc>
          <w:tcPr>
            <w:tcW w:w="629"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项目概况</w:t>
            </w:r>
          </w:p>
        </w:tc>
        <w:tc>
          <w:tcPr>
            <w:tcW w:w="3021" w:type="pct"/>
            <w:vAlign w:val="center"/>
          </w:tcPr>
          <w:p w:rsidR="00076A93" w:rsidRDefault="00000000">
            <w:pPr>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主要环境影响及预防或者减轻不良环境影响的对策和措施</w:t>
            </w:r>
          </w:p>
        </w:tc>
      </w:tr>
      <w:tr w:rsidR="00076A93">
        <w:tc>
          <w:tcPr>
            <w:tcW w:w="253" w:type="pct"/>
            <w:vAlign w:val="center"/>
          </w:tcPr>
          <w:p w:rsidR="00076A93" w:rsidRDefault="00000000">
            <w:pPr>
              <w:jc w:val="both"/>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29" w:type="pct"/>
            <w:vAlign w:val="center"/>
          </w:tcPr>
          <w:p w:rsidR="00076A93" w:rsidRDefault="00000000">
            <w:pPr>
              <w:jc w:val="both"/>
              <w:rPr>
                <w:rFonts w:ascii="Times New Roman" w:eastAsia="宋体" w:hAnsi="Times New Roman" w:cs="Times New Roman"/>
                <w:sz w:val="21"/>
                <w:szCs w:val="21"/>
              </w:rPr>
            </w:pPr>
            <w:r>
              <w:rPr>
                <w:rFonts w:ascii="Times New Roman" w:eastAsia="宋体" w:hAnsi="Times New Roman" w:cs="Times New Roman"/>
                <w:sz w:val="21"/>
                <w:szCs w:val="21"/>
              </w:rPr>
              <w:t>麻柳智造园再生水厂建设项目</w:t>
            </w:r>
          </w:p>
        </w:tc>
        <w:tc>
          <w:tcPr>
            <w:tcW w:w="241" w:type="pct"/>
            <w:vAlign w:val="center"/>
          </w:tcPr>
          <w:p w:rsidR="00076A93" w:rsidRDefault="00000000">
            <w:pPr>
              <w:jc w:val="both"/>
              <w:rPr>
                <w:rFonts w:ascii="Times New Roman" w:eastAsia="宋体" w:hAnsi="Times New Roman" w:cs="Times New Roman"/>
                <w:sz w:val="21"/>
                <w:szCs w:val="21"/>
              </w:rPr>
            </w:pPr>
            <w:proofErr w:type="gramStart"/>
            <w:r>
              <w:rPr>
                <w:rFonts w:ascii="Times New Roman" w:eastAsia="宋体" w:hAnsi="Times New Roman" w:cs="Times New Roman"/>
                <w:sz w:val="21"/>
                <w:szCs w:val="21"/>
              </w:rPr>
              <w:t>达州东部</w:t>
            </w:r>
            <w:proofErr w:type="gramEnd"/>
            <w:r>
              <w:rPr>
                <w:rFonts w:ascii="Times New Roman" w:eastAsia="宋体" w:hAnsi="Times New Roman" w:cs="Times New Roman"/>
                <w:sz w:val="21"/>
                <w:szCs w:val="21"/>
              </w:rPr>
              <w:t>经开区麻柳智造城园</w:t>
            </w:r>
          </w:p>
        </w:tc>
        <w:tc>
          <w:tcPr>
            <w:tcW w:w="242" w:type="pct"/>
            <w:vAlign w:val="center"/>
          </w:tcPr>
          <w:p w:rsidR="00076A93" w:rsidRDefault="00000000">
            <w:pPr>
              <w:jc w:val="both"/>
              <w:rPr>
                <w:rFonts w:ascii="Times New Roman" w:eastAsia="宋体" w:hAnsi="Times New Roman" w:cs="Times New Roman"/>
                <w:sz w:val="21"/>
                <w:szCs w:val="21"/>
              </w:rPr>
            </w:pPr>
            <w:proofErr w:type="gramStart"/>
            <w:r>
              <w:rPr>
                <w:rFonts w:ascii="Times New Roman" w:eastAsia="宋体" w:hAnsi="Times New Roman" w:cs="Times New Roman"/>
                <w:sz w:val="21"/>
                <w:szCs w:val="21"/>
              </w:rPr>
              <w:t>达州市</w:t>
            </w:r>
            <w:proofErr w:type="gramEnd"/>
            <w:r>
              <w:rPr>
                <w:rFonts w:ascii="Times New Roman" w:eastAsia="宋体" w:hAnsi="Times New Roman" w:cs="Times New Roman"/>
                <w:sz w:val="21"/>
                <w:szCs w:val="21"/>
              </w:rPr>
              <w:t>东新城市管理服务有限公司</w:t>
            </w:r>
          </w:p>
        </w:tc>
        <w:tc>
          <w:tcPr>
            <w:tcW w:w="386" w:type="pct"/>
            <w:vAlign w:val="center"/>
          </w:tcPr>
          <w:p w:rsidR="00076A93" w:rsidRDefault="00000000">
            <w:pPr>
              <w:jc w:val="both"/>
              <w:rPr>
                <w:rFonts w:ascii="Times New Roman" w:eastAsia="宋体" w:hAnsi="Times New Roman" w:cs="Times New Roman"/>
                <w:sz w:val="21"/>
                <w:szCs w:val="21"/>
              </w:rPr>
            </w:pPr>
            <w:r>
              <w:rPr>
                <w:rFonts w:ascii="Times New Roman" w:eastAsia="宋体" w:hAnsi="Times New Roman" w:cs="Times New Roman"/>
                <w:sz w:val="21"/>
                <w:szCs w:val="21"/>
              </w:rPr>
              <w:t>四川</w:t>
            </w:r>
            <w:proofErr w:type="gramStart"/>
            <w:r>
              <w:rPr>
                <w:rFonts w:ascii="Times New Roman" w:eastAsia="宋体" w:hAnsi="Times New Roman" w:cs="Times New Roman"/>
                <w:sz w:val="21"/>
                <w:szCs w:val="21"/>
              </w:rPr>
              <w:t>众拓全</w:t>
            </w:r>
            <w:proofErr w:type="gramEnd"/>
            <w:r>
              <w:rPr>
                <w:rFonts w:ascii="Times New Roman" w:eastAsia="宋体" w:hAnsi="Times New Roman" w:cs="Times New Roman"/>
                <w:sz w:val="21"/>
                <w:szCs w:val="21"/>
              </w:rPr>
              <w:t>过程工程设计咨询有限公司</w:t>
            </w:r>
          </w:p>
        </w:tc>
        <w:tc>
          <w:tcPr>
            <w:tcW w:w="629" w:type="pct"/>
            <w:vAlign w:val="center"/>
          </w:tcPr>
          <w:p w:rsidR="00076A93" w:rsidRDefault="00000000">
            <w:pPr>
              <w:jc w:val="both"/>
              <w:rPr>
                <w:rFonts w:ascii="Times New Roman" w:eastAsia="宋体" w:hAnsi="Times New Roman" w:cs="Times New Roman"/>
                <w:sz w:val="21"/>
                <w:szCs w:val="21"/>
              </w:rPr>
            </w:pPr>
            <w:r>
              <w:rPr>
                <w:rFonts w:ascii="Times New Roman" w:eastAsia="宋体" w:hAnsi="Times New Roman" w:cs="Times New Roman"/>
                <w:kern w:val="0"/>
                <w:sz w:val="21"/>
                <w:szCs w:val="21"/>
              </w:rPr>
              <w:t>本项目为</w:t>
            </w:r>
            <w:r>
              <w:rPr>
                <w:rFonts w:ascii="Times New Roman" w:eastAsia="宋体" w:hAnsi="Times New Roman" w:cs="Times New Roman" w:hint="eastAsia"/>
                <w:kern w:val="0"/>
                <w:sz w:val="21"/>
                <w:szCs w:val="21"/>
              </w:rPr>
              <w:t>再生水厂</w:t>
            </w:r>
            <w:r>
              <w:rPr>
                <w:rFonts w:ascii="Times New Roman" w:eastAsia="宋体" w:hAnsi="Times New Roman" w:cs="Times New Roman"/>
                <w:kern w:val="0"/>
                <w:sz w:val="21"/>
                <w:szCs w:val="21"/>
              </w:rPr>
              <w:t>，</w:t>
            </w:r>
            <w:r>
              <w:rPr>
                <w:rFonts w:ascii="Times New Roman" w:eastAsia="宋体" w:hAnsi="Times New Roman" w:cs="Times New Roman" w:hint="eastAsia"/>
                <w:kern w:val="0"/>
                <w:sz w:val="21"/>
                <w:szCs w:val="21"/>
              </w:rPr>
              <w:t>用地</w:t>
            </w:r>
            <w:r>
              <w:rPr>
                <w:rFonts w:ascii="Times New Roman" w:eastAsia="宋体" w:hAnsi="Times New Roman" w:cs="Times New Roman"/>
                <w:kern w:val="0"/>
                <w:sz w:val="21"/>
                <w:szCs w:val="21"/>
              </w:rPr>
              <w:t>面积</w:t>
            </w:r>
            <w:r>
              <w:rPr>
                <w:rFonts w:ascii="Times New Roman" w:eastAsia="宋体" w:hAnsi="Times New Roman" w:cs="Times New Roman" w:hint="eastAsia"/>
                <w:kern w:val="0"/>
                <w:sz w:val="21"/>
                <w:szCs w:val="21"/>
              </w:rPr>
              <w:t>8599m</w:t>
            </w:r>
            <w:r>
              <w:rPr>
                <w:rFonts w:ascii="Times New Roman" w:eastAsia="宋体" w:hAnsi="Times New Roman" w:cs="Times New Roman" w:hint="eastAsia"/>
                <w:kern w:val="0"/>
                <w:sz w:val="21"/>
                <w:szCs w:val="21"/>
                <w:vertAlign w:val="superscript"/>
              </w:rPr>
              <w:t>2</w:t>
            </w:r>
            <w:r>
              <w:rPr>
                <w:rFonts w:ascii="Times New Roman" w:eastAsia="宋体" w:hAnsi="Times New Roman" w:cs="Times New Roman"/>
                <w:kern w:val="0"/>
                <w:sz w:val="21"/>
                <w:szCs w:val="21"/>
              </w:rPr>
              <w:t>，本项目拟建设一座</w:t>
            </w:r>
            <w:r>
              <w:rPr>
                <w:rFonts w:ascii="Times New Roman" w:eastAsia="宋体" w:hAnsi="Times New Roman" w:cs="Times New Roman"/>
                <w:kern w:val="0"/>
                <w:sz w:val="21"/>
                <w:szCs w:val="21"/>
              </w:rPr>
              <w:t>5000m³/d</w:t>
            </w:r>
            <w:r>
              <w:rPr>
                <w:rFonts w:ascii="Times New Roman" w:eastAsia="宋体" w:hAnsi="Times New Roman" w:cs="Times New Roman"/>
                <w:kern w:val="0"/>
                <w:sz w:val="21"/>
                <w:szCs w:val="21"/>
              </w:rPr>
              <w:t>再生水厂，采用</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高效沉淀</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膜处理</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结晶制盐</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组合处理</w:t>
            </w:r>
            <w:proofErr w:type="gramStart"/>
            <w:r>
              <w:rPr>
                <w:rFonts w:ascii="Times New Roman" w:eastAsia="宋体" w:hAnsi="Times New Roman" w:cs="Times New Roman"/>
                <w:kern w:val="0"/>
                <w:sz w:val="21"/>
                <w:szCs w:val="21"/>
              </w:rPr>
              <w:t>工艺对麻柳</w:t>
            </w:r>
            <w:proofErr w:type="gramEnd"/>
            <w:r>
              <w:rPr>
                <w:rFonts w:ascii="Times New Roman" w:eastAsia="宋体" w:hAnsi="Times New Roman" w:cs="Times New Roman"/>
                <w:kern w:val="0"/>
                <w:sz w:val="21"/>
                <w:szCs w:val="21"/>
              </w:rPr>
              <w:t>污水处理厂处理后尾水进行深度处理，输送至</w:t>
            </w:r>
            <w:proofErr w:type="gramStart"/>
            <w:r>
              <w:rPr>
                <w:rFonts w:ascii="Times New Roman" w:eastAsia="宋体" w:hAnsi="Times New Roman" w:cs="Times New Roman"/>
                <w:kern w:val="0"/>
                <w:sz w:val="21"/>
                <w:szCs w:val="21"/>
              </w:rPr>
              <w:t>四川省达州钢铁</w:t>
            </w:r>
            <w:proofErr w:type="gramEnd"/>
            <w:r>
              <w:rPr>
                <w:rFonts w:ascii="Times New Roman" w:eastAsia="宋体" w:hAnsi="Times New Roman" w:cs="Times New Roman"/>
                <w:kern w:val="0"/>
                <w:sz w:val="21"/>
                <w:szCs w:val="21"/>
              </w:rPr>
              <w:t>集团有限责任公司作为生产用水使用。</w:t>
            </w:r>
            <w:r>
              <w:rPr>
                <w:rFonts w:ascii="Times New Roman" w:eastAsia="宋体" w:hAnsi="Times New Roman" w:cs="Times New Roman" w:hint="eastAsia"/>
                <w:kern w:val="0"/>
                <w:sz w:val="21"/>
                <w:szCs w:val="21"/>
              </w:rPr>
              <w:t>项目总投资</w:t>
            </w:r>
            <w:r>
              <w:rPr>
                <w:rFonts w:ascii="Times New Roman" w:eastAsia="宋体" w:hAnsi="Times New Roman" w:cs="Times New Roman" w:hint="eastAsia"/>
                <w:kern w:val="0"/>
                <w:sz w:val="21"/>
                <w:szCs w:val="21"/>
              </w:rPr>
              <w:t>8626.18</w:t>
            </w:r>
            <w:r>
              <w:rPr>
                <w:rFonts w:ascii="Times New Roman" w:eastAsia="宋体" w:hAnsi="Times New Roman" w:cs="Times New Roman" w:hint="eastAsia"/>
                <w:kern w:val="0"/>
                <w:sz w:val="21"/>
                <w:szCs w:val="21"/>
              </w:rPr>
              <w:t>万元，环保投资</w:t>
            </w:r>
            <w:r>
              <w:rPr>
                <w:rFonts w:ascii="Times New Roman" w:eastAsia="宋体" w:hAnsi="Times New Roman" w:cs="Times New Roman" w:hint="eastAsia"/>
                <w:kern w:val="0"/>
                <w:sz w:val="21"/>
                <w:szCs w:val="21"/>
              </w:rPr>
              <w:t>8626.18</w:t>
            </w:r>
            <w:r>
              <w:rPr>
                <w:rFonts w:ascii="Times New Roman" w:eastAsia="宋体" w:hAnsi="Times New Roman" w:cs="Times New Roman" w:hint="eastAsia"/>
                <w:kern w:val="0"/>
                <w:sz w:val="21"/>
                <w:szCs w:val="21"/>
              </w:rPr>
              <w:t>万元，环保投资占比</w:t>
            </w:r>
            <w:r>
              <w:rPr>
                <w:rFonts w:ascii="Times New Roman" w:eastAsia="宋体" w:hAnsi="Times New Roman" w:cs="Times New Roman" w:hint="eastAsia"/>
                <w:kern w:val="0"/>
                <w:sz w:val="21"/>
                <w:szCs w:val="21"/>
              </w:rPr>
              <w:t>100%</w:t>
            </w:r>
            <w:r>
              <w:rPr>
                <w:rFonts w:ascii="Times New Roman" w:eastAsia="宋体" w:hAnsi="Times New Roman" w:cs="Times New Roman" w:hint="eastAsia"/>
                <w:kern w:val="0"/>
                <w:sz w:val="21"/>
                <w:szCs w:val="21"/>
              </w:rPr>
              <w:t>。</w:t>
            </w:r>
          </w:p>
        </w:tc>
        <w:tc>
          <w:tcPr>
            <w:tcW w:w="3021" w:type="pct"/>
            <w:vAlign w:val="center"/>
          </w:tcPr>
          <w:p w:rsidR="00076A93" w:rsidRDefault="00000000" w:rsidP="00314CB0">
            <w:pPr>
              <w:numPr>
                <w:ilvl w:val="0"/>
                <w:numId w:val="1"/>
              </w:numPr>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施工期环境保护措施</w:t>
            </w:r>
          </w:p>
          <w:p w:rsidR="00076A93" w:rsidRDefault="00000000" w:rsidP="00314CB0">
            <w:pPr>
              <w:widowControl/>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w:t>
            </w:r>
            <w:r>
              <w:rPr>
                <w:rFonts w:ascii="Times New Roman" w:eastAsia="宋体" w:hAnsi="Times New Roman" w:cs="Times New Roman" w:hint="eastAsia"/>
                <w:kern w:val="0"/>
                <w:sz w:val="21"/>
                <w:szCs w:val="21"/>
              </w:rPr>
              <w:t>大气环境</w:t>
            </w:r>
            <w:r>
              <w:rPr>
                <w:rFonts w:ascii="Times New Roman" w:eastAsia="宋体" w:hAnsi="Times New Roman" w:cs="Times New Roman"/>
                <w:kern w:val="0"/>
                <w:sz w:val="21"/>
                <w:szCs w:val="21"/>
              </w:rPr>
              <w:t>：必须围挡作业、必须硬化道路、必须设置冲洗设施、必须及时洒水作业；不准车辆带泥出门、不准运渣车辆冒顶装载、不准高空抛撒建筑垃圾</w:t>
            </w:r>
            <w:r>
              <w:rPr>
                <w:rFonts w:ascii="Times New Roman" w:eastAsia="宋体" w:hAnsi="Times New Roman" w:cs="Times New Roman" w:hint="eastAsia"/>
                <w:kern w:val="0"/>
                <w:sz w:val="21"/>
                <w:szCs w:val="21"/>
              </w:rPr>
              <w:t>。</w:t>
            </w:r>
          </w:p>
          <w:p w:rsidR="00076A93" w:rsidRDefault="00000000" w:rsidP="00314CB0">
            <w:pPr>
              <w:widowControl/>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r>
              <w:rPr>
                <w:rFonts w:ascii="Times New Roman" w:eastAsia="宋体" w:hAnsi="Times New Roman" w:cs="Times New Roman"/>
                <w:kern w:val="0"/>
                <w:sz w:val="21"/>
                <w:szCs w:val="21"/>
              </w:rPr>
              <w:t>、地表水环境：在施工现场设置临时废水沉淀池一座，收集施工中所排放的各类废水，废水经沉淀后，仍可作为施工用水的一部分重复使用，不外排。管道及设备试压废水经沉淀后用于洒水降尘。</w:t>
            </w:r>
          </w:p>
          <w:p w:rsidR="00076A93" w:rsidRDefault="00000000" w:rsidP="00314CB0">
            <w:pPr>
              <w:widowControl/>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3</w:t>
            </w:r>
            <w:r>
              <w:rPr>
                <w:rFonts w:ascii="Times New Roman" w:eastAsia="宋体" w:hAnsi="Times New Roman" w:cs="Times New Roman"/>
                <w:kern w:val="0"/>
                <w:sz w:val="21"/>
                <w:szCs w:val="21"/>
              </w:rPr>
              <w:t>、声环境：严禁夜间和午间施工</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基础工程施工阶段，尽量选用低噪音环保混凝土振动棒和有消声降噪的施工机械；各类管道安装临时固定要牢靠。</w:t>
            </w:r>
          </w:p>
          <w:p w:rsidR="00076A93" w:rsidRDefault="00000000" w:rsidP="00314CB0">
            <w:pPr>
              <w:widowControl/>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4</w:t>
            </w:r>
            <w:r>
              <w:rPr>
                <w:rFonts w:ascii="Times New Roman" w:eastAsia="宋体" w:hAnsi="Times New Roman" w:cs="Times New Roman"/>
                <w:kern w:val="0"/>
                <w:sz w:val="21"/>
                <w:szCs w:val="21"/>
              </w:rPr>
              <w:t>、</w:t>
            </w:r>
            <w:r>
              <w:rPr>
                <w:rFonts w:ascii="Times New Roman" w:eastAsia="宋体" w:hAnsi="Times New Roman" w:cs="Times New Roman" w:hint="eastAsia"/>
                <w:kern w:val="0"/>
                <w:sz w:val="21"/>
                <w:szCs w:val="21"/>
              </w:rPr>
              <w:t>固体废物</w:t>
            </w:r>
            <w:r>
              <w:rPr>
                <w:rFonts w:ascii="Times New Roman" w:eastAsia="宋体" w:hAnsi="Times New Roman" w:cs="Times New Roman"/>
                <w:kern w:val="0"/>
                <w:sz w:val="21"/>
                <w:szCs w:val="21"/>
              </w:rPr>
              <w:t>：生活垃圾采取集中收集后交当地环卫部门进行清运；建筑垃圾可回收利用的建筑垃圾应尽量回收利用，其他不能回收利用的建筑垃圾及时清运至政府指定的建筑垃圾弃渣场处置。</w:t>
            </w:r>
          </w:p>
          <w:p w:rsidR="00076A93" w:rsidRDefault="00000000" w:rsidP="00314CB0">
            <w:pPr>
              <w:widowControl/>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5</w:t>
            </w:r>
            <w:r>
              <w:rPr>
                <w:rFonts w:ascii="Times New Roman" w:eastAsia="宋体" w:hAnsi="Times New Roman" w:cs="Times New Roman"/>
                <w:kern w:val="0"/>
                <w:sz w:val="21"/>
                <w:szCs w:val="21"/>
              </w:rPr>
              <w:t>、</w:t>
            </w:r>
            <w:r>
              <w:rPr>
                <w:rFonts w:ascii="Times New Roman" w:eastAsia="宋体" w:hAnsi="Times New Roman" w:cs="Times New Roman" w:hint="eastAsia"/>
                <w:kern w:val="0"/>
                <w:sz w:val="21"/>
                <w:szCs w:val="21"/>
              </w:rPr>
              <w:t>生态环境</w:t>
            </w:r>
            <w:r>
              <w:rPr>
                <w:rFonts w:ascii="Times New Roman" w:eastAsia="宋体" w:hAnsi="Times New Roman" w:cs="Times New Roman"/>
                <w:kern w:val="0"/>
                <w:sz w:val="21"/>
                <w:szCs w:val="21"/>
              </w:rPr>
              <w:t>：施工过程中加强临时物料堆放场的管理，制定定期洒水、覆盖、设置排水沟等措施；现场土方表面压实，不宜长时间堆积，做好苫盖，防止水土流失。</w:t>
            </w:r>
          </w:p>
          <w:p w:rsidR="00076A93" w:rsidRDefault="00000000" w:rsidP="00314CB0">
            <w:pPr>
              <w:widowControl/>
              <w:numPr>
                <w:ilvl w:val="0"/>
                <w:numId w:val="1"/>
              </w:numPr>
              <w:jc w:val="both"/>
              <w:rPr>
                <w:rFonts w:ascii="Times New Roman" w:eastAsia="宋体" w:hAnsi="Times New Roman" w:cs="Times New Roman"/>
                <w:b/>
                <w:bCs/>
                <w:kern w:val="0"/>
                <w:sz w:val="21"/>
                <w:szCs w:val="21"/>
              </w:rPr>
            </w:pPr>
            <w:r>
              <w:rPr>
                <w:rFonts w:ascii="Times New Roman" w:eastAsia="宋体" w:hAnsi="Times New Roman" w:cs="Times New Roman"/>
                <w:b/>
                <w:bCs/>
                <w:kern w:val="0"/>
                <w:sz w:val="21"/>
                <w:szCs w:val="21"/>
              </w:rPr>
              <w:t>运营期环境保护措施</w:t>
            </w:r>
          </w:p>
          <w:p w:rsidR="00076A93" w:rsidRDefault="00000000" w:rsidP="00314CB0">
            <w:pPr>
              <w:widowControl/>
              <w:numPr>
                <w:ilvl w:val="0"/>
                <w:numId w:val="2"/>
              </w:numPr>
              <w:jc w:val="both"/>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大气</w:t>
            </w:r>
            <w:r>
              <w:rPr>
                <w:rFonts w:ascii="Times New Roman" w:eastAsia="宋体" w:hAnsi="Times New Roman" w:cs="Times New Roman"/>
                <w:kern w:val="0"/>
                <w:sz w:val="21"/>
                <w:szCs w:val="21"/>
              </w:rPr>
              <w:t>环境：</w:t>
            </w:r>
            <w:r>
              <w:rPr>
                <w:rFonts w:ascii="Times New Roman" w:eastAsia="宋体" w:hAnsi="Times New Roman" w:cs="Times New Roman" w:hint="eastAsia"/>
                <w:kern w:val="0"/>
                <w:sz w:val="21"/>
                <w:szCs w:val="21"/>
              </w:rPr>
              <w:t>盐酸储罐罐区中盐酸呼吸排放产生的氯化氢气体使用碱液吸收，产生的废水回到麻柳再生水厂调节池集中处理；杂盐蒸发器和母液处理系统使用天然气</w:t>
            </w:r>
            <w:r w:rsidR="00160BC4">
              <w:rPr>
                <w:rFonts w:ascii="Times New Roman" w:eastAsia="宋体" w:hAnsi="Times New Roman" w:cs="Times New Roman" w:hint="eastAsia"/>
                <w:kern w:val="0"/>
                <w:sz w:val="21"/>
                <w:szCs w:val="21"/>
              </w:rPr>
              <w:t>，</w:t>
            </w:r>
            <w:r>
              <w:rPr>
                <w:rFonts w:ascii="Times New Roman" w:eastAsia="宋体" w:hAnsi="Times New Roman" w:cs="Times New Roman" w:hint="eastAsia"/>
                <w:kern w:val="0"/>
                <w:sz w:val="21"/>
                <w:szCs w:val="21"/>
              </w:rPr>
              <w:t>燃烧产生的颗粒物</w:t>
            </w:r>
            <w:r w:rsidR="00D9271D">
              <w:rPr>
                <w:rFonts w:ascii="Times New Roman" w:eastAsia="宋体" w:hAnsi="Times New Roman" w:cs="Times New Roman" w:hint="eastAsia"/>
                <w:kern w:val="0"/>
                <w:sz w:val="21"/>
                <w:szCs w:val="21"/>
              </w:rPr>
              <w:t>、</w:t>
            </w:r>
            <w:r>
              <w:rPr>
                <w:rFonts w:ascii="Times New Roman" w:eastAsia="宋体" w:hAnsi="Times New Roman" w:cs="Times New Roman" w:hint="eastAsia"/>
                <w:kern w:val="0"/>
                <w:sz w:val="21"/>
                <w:szCs w:val="21"/>
              </w:rPr>
              <w:t>氮氧化物和二氧化硫使用</w:t>
            </w:r>
            <w:r w:rsidR="00D9271D">
              <w:rPr>
                <w:rFonts w:ascii="Times New Roman" w:eastAsia="宋体" w:hAnsi="Times New Roman" w:cs="Times New Roman" w:hint="eastAsia"/>
                <w:kern w:val="0"/>
                <w:sz w:val="21"/>
                <w:szCs w:val="21"/>
              </w:rPr>
              <w:t>活性炭吸附塔吸收</w:t>
            </w:r>
            <w:r>
              <w:rPr>
                <w:rFonts w:ascii="Times New Roman" w:eastAsia="宋体" w:hAnsi="Times New Roman" w:cs="Times New Roman" w:hint="eastAsia"/>
                <w:kern w:val="0"/>
                <w:sz w:val="21"/>
                <w:szCs w:val="21"/>
              </w:rPr>
              <w:t>。</w:t>
            </w:r>
          </w:p>
          <w:p w:rsidR="00076A93" w:rsidRDefault="00000000" w:rsidP="00314CB0">
            <w:pPr>
              <w:widowControl/>
              <w:numPr>
                <w:ilvl w:val="0"/>
                <w:numId w:val="2"/>
              </w:numPr>
              <w:wordWrap w:val="0"/>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地表水环境：</w:t>
            </w:r>
            <w:r>
              <w:rPr>
                <w:rFonts w:ascii="Times New Roman" w:eastAsia="宋体" w:hAnsi="Times New Roman" w:cs="Times New Roman" w:hint="eastAsia"/>
                <w:kern w:val="0"/>
                <w:sz w:val="21"/>
                <w:szCs w:val="21"/>
              </w:rPr>
              <w:t>生活污水预处理</w:t>
            </w:r>
            <w:proofErr w:type="gramStart"/>
            <w:r>
              <w:rPr>
                <w:rFonts w:ascii="Times New Roman" w:eastAsia="宋体" w:hAnsi="Times New Roman" w:cs="Times New Roman" w:hint="eastAsia"/>
                <w:kern w:val="0"/>
                <w:sz w:val="21"/>
                <w:szCs w:val="21"/>
              </w:rPr>
              <w:t>后排入麻柳</w:t>
            </w:r>
            <w:proofErr w:type="gramEnd"/>
            <w:r>
              <w:rPr>
                <w:rFonts w:ascii="Times New Roman" w:eastAsia="宋体" w:hAnsi="Times New Roman" w:cs="Times New Roman" w:hint="eastAsia"/>
                <w:kern w:val="0"/>
                <w:sz w:val="21"/>
                <w:szCs w:val="21"/>
              </w:rPr>
              <w:t>污水处理厂处理；杂盐蒸发冷凝水进入</w:t>
            </w:r>
            <w:r w:rsidR="00A56DE5">
              <w:rPr>
                <w:rFonts w:ascii="Times New Roman" w:eastAsia="宋体" w:hAnsi="Times New Roman" w:cs="Times New Roman" w:hint="eastAsia"/>
                <w:kern w:val="0"/>
                <w:sz w:val="21"/>
                <w:szCs w:val="21"/>
              </w:rPr>
              <w:t>回用水池</w:t>
            </w:r>
            <w:r>
              <w:rPr>
                <w:rFonts w:ascii="Times New Roman" w:eastAsia="宋体" w:hAnsi="Times New Roman" w:cs="Times New Roman" w:hint="eastAsia"/>
                <w:kern w:val="0"/>
                <w:sz w:val="21"/>
                <w:szCs w:val="21"/>
              </w:rPr>
              <w:t>。</w:t>
            </w:r>
          </w:p>
          <w:p w:rsidR="00076A93" w:rsidRDefault="00000000" w:rsidP="00314CB0">
            <w:pPr>
              <w:widowControl/>
              <w:numPr>
                <w:ilvl w:val="0"/>
                <w:numId w:val="2"/>
              </w:numPr>
              <w:wordWrap w:val="0"/>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声环境在设备选型时优先选择低噪声的设备，做好设备的安装调试</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在设备与地面之间安装减震垫片，减小振动噪声。空压机设置专门的隔声罩、安装消声器等措施</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合理布局，高噪声设备尽量布置于厂房中部，最大程度利用距离衰减减小厂界噪声</w:t>
            </w:r>
            <w:r>
              <w:rPr>
                <w:rFonts w:ascii="Times New Roman" w:eastAsia="宋体" w:hAnsi="Times New Roman" w:cs="Times New Roman" w:hint="eastAsia"/>
                <w:kern w:val="0"/>
                <w:sz w:val="21"/>
                <w:szCs w:val="21"/>
              </w:rPr>
              <w:t>。</w:t>
            </w:r>
          </w:p>
          <w:p w:rsidR="00076A93" w:rsidRDefault="00000000" w:rsidP="00314CB0">
            <w:pPr>
              <w:widowControl/>
              <w:wordWrap w:val="0"/>
              <w:jc w:val="both"/>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4</w:t>
            </w:r>
            <w:r>
              <w:rPr>
                <w:rFonts w:ascii="Times New Roman" w:eastAsia="宋体" w:hAnsi="Times New Roman" w:cs="Times New Roman"/>
                <w:kern w:val="0"/>
                <w:sz w:val="21"/>
                <w:szCs w:val="21"/>
              </w:rPr>
              <w:t>、固体废物：本项目拟在加药间西侧设置一处一般固废暂存处，面积约</w:t>
            </w:r>
            <w:r w:rsidR="00D9271D">
              <w:rPr>
                <w:rFonts w:ascii="Times New Roman" w:eastAsia="宋体" w:hAnsi="Times New Roman" w:cs="Times New Roman" w:hint="eastAsia"/>
                <w:kern w:val="0"/>
                <w:sz w:val="21"/>
                <w:szCs w:val="21"/>
              </w:rPr>
              <w:t>194.6</w:t>
            </w:r>
            <w:r>
              <w:rPr>
                <w:rFonts w:ascii="Times New Roman" w:eastAsia="宋体" w:hAnsi="Times New Roman" w:cs="Times New Roman"/>
                <w:kern w:val="0"/>
                <w:sz w:val="21"/>
                <w:szCs w:val="21"/>
              </w:rPr>
              <w:t>m</w:t>
            </w:r>
            <w:r>
              <w:rPr>
                <w:rFonts w:ascii="Times New Roman" w:eastAsia="宋体" w:hAnsi="Times New Roman" w:cs="Times New Roman"/>
                <w:kern w:val="0"/>
                <w:sz w:val="21"/>
                <w:szCs w:val="21"/>
                <w:vertAlign w:val="superscript"/>
              </w:rPr>
              <w:t>2</w:t>
            </w:r>
            <w:r>
              <w:rPr>
                <w:rFonts w:ascii="Times New Roman" w:eastAsia="宋体" w:hAnsi="Times New Roman" w:cs="Times New Roman"/>
                <w:kern w:val="0"/>
                <w:sz w:val="21"/>
                <w:szCs w:val="21"/>
              </w:rPr>
              <w:t>，设置一般固废暂存区用于存放收集的废包装材料、边角料和不合格产品，收集后定期交由有资质的专业回收公司回收后规范处置</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设置危险废物暂存间，切实做好该区域</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防风、防雨、防晒、防渗、防流失</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工作，不造成二次污染。</w:t>
            </w:r>
            <w:proofErr w:type="gramStart"/>
            <w:r>
              <w:rPr>
                <w:rFonts w:ascii="Times New Roman" w:eastAsia="宋体" w:hAnsi="Times New Roman" w:cs="Times New Roman"/>
                <w:kern w:val="0"/>
                <w:sz w:val="21"/>
                <w:szCs w:val="21"/>
              </w:rPr>
              <w:t>危废暂存</w:t>
            </w:r>
            <w:proofErr w:type="gramEnd"/>
            <w:r>
              <w:rPr>
                <w:rFonts w:ascii="Times New Roman" w:eastAsia="宋体" w:hAnsi="Times New Roman" w:cs="Times New Roman"/>
                <w:kern w:val="0"/>
                <w:sz w:val="21"/>
                <w:szCs w:val="21"/>
              </w:rPr>
              <w:t>间应建立危险废物产生、外运、处置及最终去向的详细台账，做好危险废物转移联单填报登记工作，与有资质的单位</w:t>
            </w:r>
            <w:proofErr w:type="gramStart"/>
            <w:r>
              <w:rPr>
                <w:rFonts w:ascii="Times New Roman" w:eastAsia="宋体" w:hAnsi="Times New Roman" w:cs="Times New Roman"/>
                <w:kern w:val="0"/>
                <w:sz w:val="21"/>
                <w:szCs w:val="21"/>
              </w:rPr>
              <w:t>签订危废处置</w:t>
            </w:r>
            <w:proofErr w:type="gramEnd"/>
            <w:r>
              <w:rPr>
                <w:rFonts w:ascii="Times New Roman" w:eastAsia="宋体" w:hAnsi="Times New Roman" w:cs="Times New Roman"/>
                <w:kern w:val="0"/>
                <w:sz w:val="21"/>
                <w:szCs w:val="21"/>
              </w:rPr>
              <w:t>协议。</w:t>
            </w:r>
          </w:p>
          <w:p w:rsidR="00076A93" w:rsidRDefault="00000000" w:rsidP="00314CB0">
            <w:pPr>
              <w:widowControl/>
              <w:wordWrap w:val="0"/>
              <w:jc w:val="both"/>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lastRenderedPageBreak/>
              <w:t>5</w:t>
            </w:r>
            <w:r>
              <w:rPr>
                <w:rFonts w:ascii="Times New Roman" w:eastAsia="宋体" w:hAnsi="Times New Roman" w:cs="Times New Roman" w:hint="eastAsia"/>
                <w:kern w:val="0"/>
                <w:sz w:val="21"/>
                <w:szCs w:val="21"/>
              </w:rPr>
              <w:t>、地下水和土壤：</w:t>
            </w:r>
            <w:proofErr w:type="gramStart"/>
            <w:r w:rsidR="00C64A08" w:rsidRPr="00C64A08">
              <w:rPr>
                <w:rFonts w:ascii="Times New Roman" w:eastAsia="宋体" w:hAnsi="Times New Roman" w:cs="Times New Roman"/>
                <w:kern w:val="0"/>
                <w:sz w:val="21"/>
                <w:szCs w:val="21"/>
              </w:rPr>
              <w:t>在</w:t>
            </w:r>
            <w:r w:rsidR="00863E5F">
              <w:rPr>
                <w:rFonts w:ascii="Times New Roman" w:eastAsia="宋体" w:hAnsi="Times New Roman" w:cs="Times New Roman" w:hint="eastAsia"/>
                <w:kern w:val="0"/>
                <w:sz w:val="21"/>
                <w:szCs w:val="21"/>
              </w:rPr>
              <w:t>危废暂存</w:t>
            </w:r>
            <w:proofErr w:type="gramEnd"/>
            <w:r w:rsidR="00863E5F">
              <w:rPr>
                <w:rFonts w:ascii="Times New Roman" w:eastAsia="宋体" w:hAnsi="Times New Roman" w:cs="Times New Roman" w:hint="eastAsia"/>
                <w:kern w:val="0"/>
                <w:sz w:val="21"/>
                <w:szCs w:val="21"/>
              </w:rPr>
              <w:t>间、应急池、药剂罐区和加药间采取重点防渗，一般废物暂存间、水罐区、各类水管基础、膜车间和污泥</w:t>
            </w:r>
            <w:proofErr w:type="gramStart"/>
            <w:r w:rsidR="00863E5F">
              <w:rPr>
                <w:rFonts w:ascii="Times New Roman" w:eastAsia="宋体" w:hAnsi="Times New Roman" w:cs="Times New Roman" w:hint="eastAsia"/>
                <w:kern w:val="0"/>
                <w:sz w:val="21"/>
                <w:szCs w:val="21"/>
              </w:rPr>
              <w:t>脱水间</w:t>
            </w:r>
            <w:proofErr w:type="gramEnd"/>
            <w:r w:rsidR="00863E5F">
              <w:rPr>
                <w:rFonts w:ascii="Times New Roman" w:eastAsia="宋体" w:hAnsi="Times New Roman" w:cs="Times New Roman" w:hint="eastAsia"/>
                <w:kern w:val="0"/>
                <w:sz w:val="21"/>
                <w:szCs w:val="21"/>
              </w:rPr>
              <w:t>采取一般防渗，其余区域采取简单防渗</w:t>
            </w:r>
            <w:r w:rsidR="00C64A08" w:rsidRPr="00C64A08">
              <w:rPr>
                <w:rFonts w:ascii="Times New Roman" w:eastAsia="宋体" w:hAnsi="Times New Roman" w:cs="Times New Roman"/>
                <w:kern w:val="0"/>
                <w:sz w:val="21"/>
                <w:szCs w:val="21"/>
              </w:rPr>
              <w:t>，并严格杜绝在垃圾堆放道路、绿化带等未做防渗处理的地段堆放或处理垃圾，以防止和降低污染物的跑、冒、滴、漏现象，从而将污染物泄漏事故的风险降到最低程度</w:t>
            </w:r>
            <w:r>
              <w:rPr>
                <w:rFonts w:ascii="Times New Roman" w:eastAsia="宋体" w:hAnsi="Times New Roman" w:cs="Times New Roman"/>
                <w:kern w:val="0"/>
                <w:sz w:val="21"/>
                <w:szCs w:val="21"/>
              </w:rPr>
              <w:t>。</w:t>
            </w:r>
          </w:p>
          <w:p w:rsidR="00076A93" w:rsidRDefault="00000000" w:rsidP="00314CB0">
            <w:pPr>
              <w:widowControl/>
              <w:wordWrap w:val="0"/>
              <w:jc w:val="both"/>
              <w:rPr>
                <w:rFonts w:ascii="Times New Roman" w:eastAsia="宋体" w:hAnsi="Times New Roman" w:cs="Times New Roman"/>
                <w:b/>
                <w:bCs/>
                <w:kern w:val="0"/>
                <w:sz w:val="21"/>
                <w:szCs w:val="21"/>
              </w:rPr>
            </w:pPr>
            <w:r>
              <w:rPr>
                <w:rFonts w:ascii="Times New Roman" w:eastAsia="宋体" w:hAnsi="Times New Roman" w:cs="Times New Roman"/>
                <w:b/>
                <w:bCs/>
                <w:kern w:val="0"/>
                <w:sz w:val="21"/>
                <w:szCs w:val="21"/>
              </w:rPr>
              <w:t>三、环境风险</w:t>
            </w:r>
          </w:p>
          <w:p w:rsidR="00076A93" w:rsidRDefault="00000000" w:rsidP="00314CB0">
            <w:pPr>
              <w:widowControl/>
              <w:wordWrap w:val="0"/>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加强岗位培训，落实安全生产责任制</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落实各项安全技术措施</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废气事故排放风险防控措施</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加强液态物料、</w:t>
            </w:r>
            <w:proofErr w:type="gramStart"/>
            <w:r>
              <w:rPr>
                <w:rFonts w:ascii="Times New Roman" w:eastAsia="宋体" w:hAnsi="Times New Roman" w:cs="Times New Roman"/>
                <w:kern w:val="0"/>
                <w:sz w:val="21"/>
                <w:szCs w:val="21"/>
              </w:rPr>
              <w:t>危废储存</w:t>
            </w:r>
            <w:proofErr w:type="gramEnd"/>
            <w:r>
              <w:rPr>
                <w:rFonts w:ascii="Times New Roman" w:eastAsia="宋体" w:hAnsi="Times New Roman" w:cs="Times New Roman"/>
                <w:kern w:val="0"/>
                <w:sz w:val="21"/>
                <w:szCs w:val="21"/>
              </w:rPr>
              <w:t>和管理</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做好原料的存放，原材料应正确标识，分类存放；加强安全生产及环境管理，落实好防范措施；生产现场配置个体防护器材和应急器具，做好员工的劳动保护；成立环境风险应急组织，编写应急预案，并定期进行演练</w:t>
            </w:r>
            <w:r>
              <w:rPr>
                <w:rFonts w:ascii="Times New Roman" w:eastAsia="宋体" w:hAnsi="Times New Roman" w:cs="Times New Roman" w:hint="eastAsia"/>
                <w:kern w:val="0"/>
                <w:sz w:val="21"/>
                <w:szCs w:val="21"/>
              </w:rPr>
              <w:t>。</w:t>
            </w:r>
          </w:p>
          <w:p w:rsidR="00076A93" w:rsidRDefault="00000000" w:rsidP="00314CB0">
            <w:pPr>
              <w:widowControl/>
              <w:wordWrap w:val="0"/>
              <w:jc w:val="both"/>
              <w:rPr>
                <w:rFonts w:ascii="Times New Roman" w:eastAsia="宋体" w:hAnsi="Times New Roman" w:cs="Times New Roman"/>
                <w:b/>
                <w:bCs/>
                <w:kern w:val="0"/>
                <w:sz w:val="21"/>
                <w:szCs w:val="21"/>
              </w:rPr>
            </w:pPr>
            <w:r>
              <w:rPr>
                <w:rFonts w:ascii="Times New Roman" w:eastAsia="宋体" w:hAnsi="Times New Roman" w:cs="Times New Roman"/>
                <w:b/>
                <w:bCs/>
                <w:kern w:val="0"/>
                <w:sz w:val="21"/>
                <w:szCs w:val="21"/>
              </w:rPr>
              <w:t>四、其他部门意见</w:t>
            </w:r>
          </w:p>
          <w:p w:rsidR="00076A93" w:rsidRDefault="00000000" w:rsidP="00314CB0">
            <w:pPr>
              <w:widowControl/>
              <w:jc w:val="both"/>
              <w:rPr>
                <w:rFonts w:ascii="Times New Roman" w:eastAsia="宋体" w:hAnsi="Times New Roman" w:cs="Times New Roman"/>
                <w:sz w:val="21"/>
                <w:szCs w:val="21"/>
              </w:rPr>
            </w:pPr>
            <w:r>
              <w:rPr>
                <w:rFonts w:ascii="Times New Roman" w:eastAsia="宋体" w:hAnsi="Times New Roman" w:cs="Times New Roman"/>
                <w:kern w:val="0"/>
                <w:sz w:val="21"/>
                <w:szCs w:val="21"/>
              </w:rPr>
              <w:t>1</w:t>
            </w:r>
            <w:r>
              <w:rPr>
                <w:rFonts w:ascii="Times New Roman" w:eastAsia="宋体" w:hAnsi="Times New Roman" w:cs="Times New Roman"/>
                <w:kern w:val="0"/>
                <w:sz w:val="21"/>
                <w:szCs w:val="21"/>
              </w:rPr>
              <w:t>、</w:t>
            </w:r>
            <w:r>
              <w:rPr>
                <w:rFonts w:ascii="Times New Roman" w:eastAsia="宋体" w:hAnsi="Times New Roman" w:cs="Times New Roman"/>
                <w:color w:val="000000"/>
                <w:kern w:val="0"/>
                <w:sz w:val="21"/>
                <w:szCs w:val="21"/>
              </w:rPr>
              <w:t>四</w:t>
            </w:r>
            <w:r>
              <w:rPr>
                <w:rFonts w:ascii="Times New Roman" w:eastAsia="宋体" w:hAnsi="Times New Roman" w:cs="Times New Roman"/>
                <w:sz w:val="21"/>
                <w:szCs w:val="21"/>
              </w:rPr>
              <w:t>川达州东部经济开发区政务服务管理局《四川省固定资产投资项目备案表》（川投资备【</w:t>
            </w:r>
            <w:r>
              <w:rPr>
                <w:rFonts w:ascii="Times New Roman" w:eastAsia="宋体" w:hAnsi="Times New Roman" w:cs="Times New Roman"/>
                <w:sz w:val="21"/>
                <w:szCs w:val="21"/>
              </w:rPr>
              <w:t>2303-511715-99-01-577731</w:t>
            </w:r>
            <w:r>
              <w:rPr>
                <w:rFonts w:ascii="Times New Roman" w:eastAsia="宋体" w:hAnsi="Times New Roman" w:cs="Times New Roman"/>
                <w:sz w:val="21"/>
                <w:szCs w:val="21"/>
              </w:rPr>
              <w:t>】</w:t>
            </w:r>
            <w:r>
              <w:rPr>
                <w:rFonts w:ascii="Times New Roman" w:eastAsia="宋体" w:hAnsi="Times New Roman" w:cs="Times New Roman"/>
                <w:sz w:val="21"/>
                <w:szCs w:val="21"/>
              </w:rPr>
              <w:t>FGOB-0043</w:t>
            </w:r>
            <w:r>
              <w:rPr>
                <w:rFonts w:ascii="Times New Roman" w:eastAsia="宋体" w:hAnsi="Times New Roman" w:cs="Times New Roman"/>
                <w:sz w:val="21"/>
                <w:szCs w:val="21"/>
              </w:rPr>
              <w:t>号）</w:t>
            </w:r>
            <w:r>
              <w:rPr>
                <w:rFonts w:ascii="Times New Roman" w:eastAsia="宋体" w:hAnsi="Times New Roman" w:cs="Times New Roman" w:hint="eastAsia"/>
                <w:sz w:val="21"/>
                <w:szCs w:val="21"/>
              </w:rPr>
              <w:t>。</w:t>
            </w:r>
          </w:p>
          <w:p w:rsidR="00076A93" w:rsidRDefault="00000000" w:rsidP="00314CB0">
            <w:pPr>
              <w:widowControl/>
              <w:jc w:val="both"/>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四川达州东部经济开发区园区建设局关于达州东部经开区城市供排水配套工程项目（二</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五标段）初步设计的批复</w:t>
            </w:r>
            <w:r>
              <w:rPr>
                <w:rFonts w:ascii="Times New Roman" w:eastAsia="宋体" w:hAnsi="Times New Roman" w:cs="Times New Roman"/>
                <w:sz w:val="21"/>
                <w:szCs w:val="21"/>
              </w:rPr>
              <w:t>》</w:t>
            </w:r>
            <w:r>
              <w:rPr>
                <w:rFonts w:ascii="Times New Roman" w:eastAsia="宋体" w:hAnsi="Times New Roman" w:cs="Times New Roman" w:hint="eastAsia"/>
                <w:sz w:val="21"/>
                <w:szCs w:val="21"/>
              </w:rPr>
              <w:t>达经</w:t>
            </w:r>
            <w:proofErr w:type="gramStart"/>
            <w:r>
              <w:rPr>
                <w:rFonts w:ascii="Times New Roman" w:eastAsia="宋体" w:hAnsi="Times New Roman" w:cs="Times New Roman" w:hint="eastAsia"/>
                <w:sz w:val="21"/>
                <w:szCs w:val="21"/>
              </w:rPr>
              <w:t>开园建</w:t>
            </w:r>
            <w:proofErr w:type="gramEnd"/>
            <w:r>
              <w:rPr>
                <w:rFonts w:ascii="Times New Roman" w:eastAsia="宋体" w:hAnsi="Times New Roman" w:cs="Times New Roman" w:hint="eastAsia"/>
                <w:sz w:val="21"/>
                <w:szCs w:val="21"/>
              </w:rPr>
              <w:t>函</w:t>
            </w:r>
            <w:r>
              <w:rPr>
                <w:rFonts w:ascii="Times New Roman" w:eastAsia="宋体" w:hAnsi="Times New Roman" w:cs="Times New Roman"/>
                <w:sz w:val="21"/>
                <w:szCs w:val="21"/>
              </w:rPr>
              <w:t>〔</w:t>
            </w:r>
            <w:r>
              <w:rPr>
                <w:rFonts w:ascii="Times New Roman" w:eastAsia="宋体" w:hAnsi="Times New Roman" w:cs="Times New Roman"/>
                <w:sz w:val="21"/>
                <w:szCs w:val="21"/>
              </w:rPr>
              <w:t>2024</w:t>
            </w:r>
            <w:r>
              <w:rPr>
                <w:rFonts w:ascii="Times New Roman" w:eastAsia="宋体" w:hAnsi="Times New Roman" w:cs="Times New Roman"/>
                <w:sz w:val="21"/>
                <w:szCs w:val="21"/>
              </w:rPr>
              <w:t>〕</w:t>
            </w:r>
            <w:r>
              <w:rPr>
                <w:rFonts w:ascii="Times New Roman" w:eastAsia="宋体" w:hAnsi="Times New Roman" w:cs="Times New Roman" w:hint="eastAsia"/>
                <w:sz w:val="21"/>
                <w:szCs w:val="21"/>
              </w:rPr>
              <w:t>56</w:t>
            </w:r>
            <w:r>
              <w:rPr>
                <w:rFonts w:ascii="Times New Roman" w:eastAsia="宋体" w:hAnsi="Times New Roman" w:cs="Times New Roman"/>
                <w:sz w:val="21"/>
                <w:szCs w:val="21"/>
              </w:rPr>
              <w:t>号</w:t>
            </w:r>
            <w:r>
              <w:rPr>
                <w:rFonts w:ascii="Times New Roman" w:eastAsia="宋体" w:hAnsi="Times New Roman" w:cs="Times New Roman" w:hint="eastAsia"/>
                <w:sz w:val="21"/>
                <w:szCs w:val="21"/>
              </w:rPr>
              <w:t>。</w:t>
            </w:r>
          </w:p>
        </w:tc>
      </w:tr>
    </w:tbl>
    <w:p w:rsidR="00076A93" w:rsidRDefault="00076A93">
      <w:pPr>
        <w:rPr>
          <w:rFonts w:hint="eastAsia"/>
        </w:rPr>
      </w:pPr>
    </w:p>
    <w:sectPr w:rsidR="00076A9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847" w:rsidRDefault="001D2847" w:rsidP="00D9271D">
      <w:pPr>
        <w:spacing w:after="0" w:line="240" w:lineRule="auto"/>
        <w:rPr>
          <w:rFonts w:hint="eastAsia"/>
        </w:rPr>
      </w:pPr>
      <w:r>
        <w:separator/>
      </w:r>
    </w:p>
  </w:endnote>
  <w:endnote w:type="continuationSeparator" w:id="0">
    <w:p w:rsidR="001D2847" w:rsidRDefault="001D2847" w:rsidP="00D9271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847" w:rsidRDefault="001D2847" w:rsidP="00D9271D">
      <w:pPr>
        <w:spacing w:after="0" w:line="240" w:lineRule="auto"/>
        <w:rPr>
          <w:rFonts w:hint="eastAsia"/>
        </w:rPr>
      </w:pPr>
      <w:r>
        <w:separator/>
      </w:r>
    </w:p>
  </w:footnote>
  <w:footnote w:type="continuationSeparator" w:id="0">
    <w:p w:rsidR="001D2847" w:rsidRDefault="001D2847" w:rsidP="00D9271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7A5A77C"/>
    <w:lvl w:ilvl="0">
      <w:start w:val="1"/>
      <w:numFmt w:val="chineseCounting"/>
      <w:suff w:val="nothing"/>
      <w:lvlText w:val="%1、"/>
      <w:lvlJc w:val="left"/>
      <w:rPr>
        <w:rFonts w:hint="eastAsia"/>
      </w:rPr>
    </w:lvl>
  </w:abstractNum>
  <w:abstractNum w:abstractNumId="1" w15:restartNumberingAfterBreak="0">
    <w:nsid w:val="34734F32"/>
    <w:multiLevelType w:val="singleLevel"/>
    <w:tmpl w:val="F144B434"/>
    <w:lvl w:ilvl="0">
      <w:start w:val="1"/>
      <w:numFmt w:val="decimal"/>
      <w:suff w:val="nothing"/>
      <w:lvlText w:val="%1、"/>
      <w:lvlJc w:val="left"/>
    </w:lvl>
  </w:abstractNum>
  <w:num w:numId="1" w16cid:durableId="984621059">
    <w:abstractNumId w:val="0"/>
  </w:num>
  <w:num w:numId="2" w16cid:durableId="139238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93"/>
    <w:rsid w:val="00076A93"/>
    <w:rsid w:val="00160BC4"/>
    <w:rsid w:val="001D2847"/>
    <w:rsid w:val="001D3F82"/>
    <w:rsid w:val="00211814"/>
    <w:rsid w:val="002C6B17"/>
    <w:rsid w:val="00302859"/>
    <w:rsid w:val="00314CB0"/>
    <w:rsid w:val="004A24ED"/>
    <w:rsid w:val="005E1EFE"/>
    <w:rsid w:val="00752A8F"/>
    <w:rsid w:val="007C585A"/>
    <w:rsid w:val="00863E5F"/>
    <w:rsid w:val="008A295B"/>
    <w:rsid w:val="009240A3"/>
    <w:rsid w:val="00A56DE5"/>
    <w:rsid w:val="00B00E18"/>
    <w:rsid w:val="00B14720"/>
    <w:rsid w:val="00BF37DD"/>
    <w:rsid w:val="00C16AB6"/>
    <w:rsid w:val="00C64A08"/>
    <w:rsid w:val="00D8544C"/>
    <w:rsid w:val="00D9271D"/>
    <w:rsid w:val="00EA0848"/>
    <w:rsid w:val="00EE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8CB2"/>
  <w15:docId w15:val="{2ECE3719-0F91-4E7B-871C-70B48AFF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uiPriority w:val="9"/>
    <w:semiHidden/>
    <w:unhideWhenUsed/>
    <w:qFormat/>
    <w:pPr>
      <w:keepNext/>
      <w:keepLines/>
      <w:spacing w:before="80" w:after="40"/>
      <w:outlineLvl w:val="3"/>
    </w:pPr>
    <w:rPr>
      <w:color w:val="0F4761"/>
      <w:sz w:val="28"/>
      <w:szCs w:val="28"/>
    </w:rPr>
  </w:style>
  <w:style w:type="paragraph" w:styleId="5">
    <w:name w:val="heading 5"/>
    <w:basedOn w:val="a"/>
    <w:next w:val="a"/>
    <w:link w:val="50"/>
    <w:uiPriority w:val="9"/>
    <w:semiHidden/>
    <w:unhideWhenUsed/>
    <w:qFormat/>
    <w:pPr>
      <w:keepNext/>
      <w:keepLines/>
      <w:spacing w:before="80" w:after="40"/>
      <w:outlineLvl w:val="4"/>
    </w:pPr>
    <w:rPr>
      <w:color w:val="0F4761"/>
      <w:sz w:val="24"/>
    </w:rPr>
  </w:style>
  <w:style w:type="paragraph" w:styleId="6">
    <w:name w:val="heading 6"/>
    <w:basedOn w:val="a"/>
    <w:next w:val="a"/>
    <w:link w:val="60"/>
    <w:uiPriority w:val="9"/>
    <w:semiHidden/>
    <w:unhideWhenUsed/>
    <w:qFormat/>
    <w:pPr>
      <w:keepNext/>
      <w:keepLines/>
      <w:spacing w:before="40" w:after="0"/>
      <w:outlineLvl w:val="5"/>
    </w:pPr>
    <w:rPr>
      <w:b/>
      <w:bCs/>
      <w:color w:val="0F4761"/>
    </w:rPr>
  </w:style>
  <w:style w:type="paragraph" w:styleId="7">
    <w:name w:val="heading 7"/>
    <w:basedOn w:val="a"/>
    <w:next w:val="a"/>
    <w:link w:val="70"/>
    <w:uiPriority w:val="9"/>
    <w:qFormat/>
    <w:pPr>
      <w:keepNext/>
      <w:keepLines/>
      <w:spacing w:before="40" w:after="0"/>
      <w:outlineLvl w:val="6"/>
    </w:pPr>
    <w:rPr>
      <w:b/>
      <w:bCs/>
      <w:color w:val="595959"/>
    </w:rPr>
  </w:style>
  <w:style w:type="paragraph" w:styleId="8">
    <w:name w:val="heading 8"/>
    <w:basedOn w:val="a"/>
    <w:next w:val="a"/>
    <w:link w:val="80"/>
    <w:uiPriority w:val="9"/>
    <w:qFormat/>
    <w:pPr>
      <w:keepNext/>
      <w:keepLines/>
      <w:spacing w:after="0"/>
      <w:outlineLvl w:val="7"/>
    </w:pPr>
    <w:rPr>
      <w:color w:val="595959"/>
    </w:rPr>
  </w:style>
  <w:style w:type="paragraph" w:styleId="9">
    <w:name w:val="heading 9"/>
    <w:basedOn w:val="a"/>
    <w:next w:val="a"/>
    <w:link w:val="90"/>
    <w:uiPriority w:val="9"/>
    <w:qFormat/>
    <w:pPr>
      <w:keepNext/>
      <w:keepLines/>
      <w:spacing w:after="0"/>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Light" w:eastAsia="等线 Light" w:hAnsi="等线 Light" w:cs="宋体"/>
      <w:color w:val="0F4761"/>
      <w:sz w:val="48"/>
      <w:szCs w:val="48"/>
    </w:rPr>
  </w:style>
  <w:style w:type="character" w:customStyle="1" w:styleId="20">
    <w:name w:val="标题 2 字符"/>
    <w:basedOn w:val="a0"/>
    <w:link w:val="2"/>
    <w:uiPriority w:val="9"/>
    <w:rPr>
      <w:rFonts w:ascii="等线 Light" w:eastAsia="等线 Light" w:hAnsi="等线 Light" w:cs="宋体"/>
      <w:color w:val="0F4761"/>
      <w:sz w:val="40"/>
      <w:szCs w:val="40"/>
    </w:rPr>
  </w:style>
  <w:style w:type="character" w:customStyle="1" w:styleId="30">
    <w:name w:val="标题 3 字符"/>
    <w:basedOn w:val="a0"/>
    <w:link w:val="3"/>
    <w:uiPriority w:val="9"/>
    <w:rPr>
      <w:rFonts w:ascii="等线 Light" w:eastAsia="等线 Light" w:hAnsi="等线 Light" w:cs="宋体"/>
      <w:color w:val="0F4761"/>
      <w:sz w:val="32"/>
      <w:szCs w:val="32"/>
    </w:rPr>
  </w:style>
  <w:style w:type="character" w:customStyle="1" w:styleId="40">
    <w:name w:val="标题 4 字符"/>
    <w:basedOn w:val="a0"/>
    <w:link w:val="4"/>
    <w:uiPriority w:val="9"/>
    <w:rPr>
      <w:rFonts w:cs="宋体"/>
      <w:color w:val="0F4761"/>
      <w:sz w:val="28"/>
      <w:szCs w:val="28"/>
    </w:rPr>
  </w:style>
  <w:style w:type="character" w:customStyle="1" w:styleId="50">
    <w:name w:val="标题 5 字符"/>
    <w:basedOn w:val="a0"/>
    <w:link w:val="5"/>
    <w:uiPriority w:val="9"/>
    <w:rPr>
      <w:rFonts w:cs="宋体"/>
      <w:color w:val="0F4761"/>
      <w:sz w:val="24"/>
    </w:rPr>
  </w:style>
  <w:style w:type="character" w:customStyle="1" w:styleId="60">
    <w:name w:val="标题 6 字符"/>
    <w:basedOn w:val="a0"/>
    <w:link w:val="6"/>
    <w:uiPriority w:val="9"/>
    <w:rPr>
      <w:rFonts w:cs="宋体"/>
      <w:b/>
      <w:bCs/>
      <w:color w:val="0F476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paragraph" w:styleId="a3">
    <w:name w:val="Title"/>
    <w:basedOn w:val="a"/>
    <w:next w:val="a"/>
    <w:link w:val="a4"/>
    <w:uiPriority w:val="10"/>
    <w:qFormat/>
    <w:pPr>
      <w:spacing w:after="80" w:line="240" w:lineRule="auto"/>
      <w:contextualSpacing/>
      <w:jc w:val="center"/>
    </w:pPr>
    <w:rPr>
      <w:rFonts w:ascii="等线 Light" w:eastAsia="等线 Light" w:hAnsi="等线 Light"/>
      <w:spacing w:val="-10"/>
      <w:kern w:val="28"/>
      <w:sz w:val="56"/>
      <w:szCs w:val="56"/>
    </w:rPr>
  </w:style>
  <w:style w:type="character" w:customStyle="1" w:styleId="a4">
    <w:name w:val="标题 字符"/>
    <w:basedOn w:val="a0"/>
    <w:link w:val="a3"/>
    <w:uiPriority w:val="10"/>
    <w:rPr>
      <w:rFonts w:ascii="等线 Light" w:eastAsia="等线 Light" w:hAnsi="等线 Light" w:cs="宋体"/>
      <w:spacing w:val="-10"/>
      <w:kern w:val="28"/>
      <w:sz w:val="56"/>
      <w:szCs w:val="56"/>
    </w:rPr>
  </w:style>
  <w:style w:type="paragraph" w:styleId="a5">
    <w:name w:val="Subtitle"/>
    <w:basedOn w:val="a"/>
    <w:next w:val="a"/>
    <w:link w:val="a6"/>
    <w:uiPriority w:val="11"/>
    <w:qFormat/>
    <w:pPr>
      <w:numPr>
        <w:ilvl w:val="1"/>
      </w:numPr>
      <w:jc w:val="center"/>
    </w:pPr>
    <w:rPr>
      <w:rFonts w:ascii="等线 Light" w:eastAsia="等线 Light" w:hAnsi="等线 Light"/>
      <w:color w:val="595959"/>
      <w:spacing w:val="15"/>
      <w:sz w:val="28"/>
      <w:szCs w:val="28"/>
    </w:rPr>
  </w:style>
  <w:style w:type="character" w:customStyle="1" w:styleId="a6">
    <w:name w:val="副标题 字符"/>
    <w:basedOn w:val="a0"/>
    <w:link w:val="a5"/>
    <w:uiPriority w:val="11"/>
    <w:rPr>
      <w:rFonts w:ascii="等线 Light" w:eastAsia="等线 Light" w:hAnsi="等线 Light" w:cs="宋体"/>
      <w:color w:val="595959"/>
      <w:spacing w:val="15"/>
      <w:sz w:val="28"/>
      <w:szCs w:val="28"/>
    </w:rPr>
  </w:style>
  <w:style w:type="paragraph" w:styleId="a7">
    <w:name w:val="Quote"/>
    <w:basedOn w:val="a"/>
    <w:next w:val="a"/>
    <w:link w:val="a8"/>
    <w:uiPriority w:val="29"/>
    <w:qFormat/>
    <w:pPr>
      <w:spacing w:before="160"/>
      <w:jc w:val="center"/>
    </w:pPr>
    <w:rPr>
      <w:i/>
      <w:iCs/>
      <w:color w:val="404040"/>
    </w:rPr>
  </w:style>
  <w:style w:type="character" w:customStyle="1" w:styleId="a8">
    <w:name w:val="引用 字符"/>
    <w:basedOn w:val="a0"/>
    <w:link w:val="a7"/>
    <w:uiPriority w:val="29"/>
    <w:rPr>
      <w:i/>
      <w:iCs/>
      <w:color w:val="404040"/>
    </w:rPr>
  </w:style>
  <w:style w:type="paragraph" w:styleId="a9">
    <w:name w:val="List Paragraph"/>
    <w:basedOn w:val="a"/>
    <w:uiPriority w:val="34"/>
    <w:qFormat/>
    <w:pPr>
      <w:ind w:left="720"/>
      <w:contextualSpacing/>
    </w:pPr>
  </w:style>
  <w:style w:type="character" w:styleId="aa">
    <w:name w:val="Intense Emphasis"/>
    <w:basedOn w:val="a0"/>
    <w:uiPriority w:val="21"/>
    <w:qFormat/>
    <w:rPr>
      <w:i/>
      <w:iCs/>
      <w:color w:val="0F4761"/>
    </w:rPr>
  </w:style>
  <w:style w:type="paragraph" w:styleId="ab">
    <w:name w:val="Intense Quote"/>
    <w:basedOn w:val="a"/>
    <w:next w:val="a"/>
    <w:link w:val="ac"/>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明显引用 字符"/>
    <w:basedOn w:val="a0"/>
    <w:link w:val="ab"/>
    <w:uiPriority w:val="30"/>
    <w:rPr>
      <w:i/>
      <w:iCs/>
      <w:color w:val="0F4761"/>
    </w:rPr>
  </w:style>
  <w:style w:type="character" w:styleId="ad">
    <w:name w:val="Intense Reference"/>
    <w:basedOn w:val="a0"/>
    <w:uiPriority w:val="32"/>
    <w:qFormat/>
    <w:rPr>
      <w:b/>
      <w:bCs/>
      <w:smallCaps/>
      <w:color w:val="0F4761"/>
      <w:spacing w:val="5"/>
    </w:rPr>
  </w:style>
  <w:style w:type="table" w:styleId="ae">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正文"/>
    <w:basedOn w:val="a"/>
    <w:qFormat/>
    <w:pPr>
      <w:widowControl/>
      <w:adjustRightInd w:val="0"/>
      <w:snapToGrid w:val="0"/>
      <w:spacing w:after="0" w:line="360" w:lineRule="auto"/>
      <w:ind w:firstLineChars="200" w:firstLine="200"/>
    </w:pPr>
    <w:rPr>
      <w:rFonts w:ascii="Calibri" w:eastAsia="宋体" w:hAnsi="Calibri" w:cs="Times New Roman"/>
      <w:kern w:val="0"/>
      <w:sz w:val="24"/>
      <w14:ligatures w14:val="none"/>
    </w:rPr>
  </w:style>
  <w:style w:type="paragraph" w:styleId="af">
    <w:name w:val="header"/>
    <w:basedOn w:val="a"/>
    <w:link w:val="af0"/>
    <w:uiPriority w:val="9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Pr>
      <w:sz w:val="18"/>
      <w:szCs w:val="18"/>
    </w:rPr>
  </w:style>
  <w:style w:type="paragraph" w:styleId="af1">
    <w:name w:val="footer"/>
    <w:basedOn w:val="a"/>
    <w:link w:val="af2"/>
    <w:uiPriority w:val="9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mengfei shen</dc:creator>
  <cp:lastModifiedBy>mengfei shen</cp:lastModifiedBy>
  <cp:revision>2</cp:revision>
  <dcterms:created xsi:type="dcterms:W3CDTF">2024-12-10T04:08:00Z</dcterms:created>
  <dcterms:modified xsi:type="dcterms:W3CDTF">2024-12-10T04:08:00Z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080862a5ed0646618271d1efbfed6c2e</vt:lpwstr>
  </property>
</Properties>
</file>