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682"/>
        <w:gridCol w:w="718"/>
        <w:gridCol w:w="721"/>
        <w:gridCol w:w="1150"/>
        <w:gridCol w:w="1874"/>
        <w:gridCol w:w="8996"/>
      </w:tblGrid>
      <w:tr w14:paraId="58C6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3C3FF504">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序号</w:t>
            </w:r>
          </w:p>
        </w:tc>
        <w:tc>
          <w:tcPr>
            <w:tcW w:w="229" w:type="pct"/>
            <w:vAlign w:val="center"/>
          </w:tcPr>
          <w:p w14:paraId="2FA61C73">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项目名称</w:t>
            </w:r>
          </w:p>
        </w:tc>
        <w:tc>
          <w:tcPr>
            <w:tcW w:w="241" w:type="pct"/>
            <w:vAlign w:val="center"/>
          </w:tcPr>
          <w:p w14:paraId="45C1F03E">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建设地点</w:t>
            </w:r>
          </w:p>
        </w:tc>
        <w:tc>
          <w:tcPr>
            <w:tcW w:w="242" w:type="pct"/>
            <w:vAlign w:val="center"/>
          </w:tcPr>
          <w:p w14:paraId="4357EF64">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建设单位</w:t>
            </w:r>
          </w:p>
        </w:tc>
        <w:tc>
          <w:tcPr>
            <w:tcW w:w="386" w:type="pct"/>
            <w:vAlign w:val="center"/>
          </w:tcPr>
          <w:p w14:paraId="05DE7B61">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环境影响评价机构</w:t>
            </w:r>
          </w:p>
        </w:tc>
        <w:tc>
          <w:tcPr>
            <w:tcW w:w="629" w:type="pct"/>
            <w:vAlign w:val="center"/>
          </w:tcPr>
          <w:p w14:paraId="38AAD4D5">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项目概况</w:t>
            </w:r>
          </w:p>
        </w:tc>
        <w:tc>
          <w:tcPr>
            <w:tcW w:w="3021" w:type="pct"/>
            <w:vAlign w:val="center"/>
          </w:tcPr>
          <w:p w14:paraId="147C7875">
            <w:pPr>
              <w:spacing w:after="0" w:line="240" w:lineRule="auto"/>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主要环境影响及预防或者减轻不良环境影响的对策和措施</w:t>
            </w:r>
          </w:p>
        </w:tc>
      </w:tr>
      <w:tr w14:paraId="5516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22D74DA0">
            <w:pPr>
              <w:spacing w:after="0" w:line="24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229" w:type="pct"/>
            <w:vAlign w:val="center"/>
          </w:tcPr>
          <w:p w14:paraId="35C11445">
            <w:pPr>
              <w:spacing w:after="0" w:line="240" w:lineRule="auto"/>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达钢搬迁项目-公辅单元</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全厂正式道路项目水稳、沥青混合料拌合站建设项目</w:t>
            </w:r>
          </w:p>
        </w:tc>
        <w:tc>
          <w:tcPr>
            <w:tcW w:w="241" w:type="pct"/>
            <w:vAlign w:val="center"/>
          </w:tcPr>
          <w:p w14:paraId="30A77107">
            <w:pPr>
              <w:spacing w:after="0" w:line="24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达州东部经开区麻柳智造城园</w:t>
            </w:r>
          </w:p>
        </w:tc>
        <w:tc>
          <w:tcPr>
            <w:tcW w:w="242" w:type="pct"/>
            <w:vAlign w:val="center"/>
          </w:tcPr>
          <w:p w14:paraId="4A2F49DB">
            <w:pPr>
              <w:spacing w:after="0" w:line="240" w:lineRule="auto"/>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成都国锐建筑劳务有限公司达州东部经开区分公司</w:t>
            </w:r>
          </w:p>
        </w:tc>
        <w:tc>
          <w:tcPr>
            <w:tcW w:w="386" w:type="pct"/>
            <w:vAlign w:val="center"/>
          </w:tcPr>
          <w:p w14:paraId="370C2D13">
            <w:pPr>
              <w:spacing w:after="0" w:line="240" w:lineRule="auto"/>
              <w:jc w:val="both"/>
              <w:rPr>
                <w:rFonts w:ascii="Times New Roman" w:hAnsi="Times New Roman" w:eastAsia="宋体" w:cs="Times New Roman"/>
                <w:color w:val="FF0000"/>
                <w:sz w:val="21"/>
                <w:szCs w:val="21"/>
              </w:rPr>
            </w:pPr>
            <w:r>
              <w:rPr>
                <w:rFonts w:hint="eastAsia" w:ascii="Times New Roman" w:hAnsi="Times New Roman" w:eastAsia="宋体" w:cs="Times New Roman"/>
                <w:color w:val="auto"/>
                <w:sz w:val="21"/>
                <w:szCs w:val="21"/>
              </w:rPr>
              <w:t>四川君之晴环保科技有限公司</w:t>
            </w:r>
          </w:p>
        </w:tc>
        <w:tc>
          <w:tcPr>
            <w:tcW w:w="629" w:type="pct"/>
            <w:vAlign w:val="center"/>
          </w:tcPr>
          <w:p w14:paraId="60D41AA6">
            <w:pPr>
              <w:spacing w:after="0" w:line="240" w:lineRule="auto"/>
              <w:jc w:val="both"/>
              <w:rPr>
                <w:rFonts w:hint="eastAsia" w:ascii="Times New Roman" w:hAnsi="Times New Roman" w:eastAsia="宋体" w:cs="Times New Roman"/>
                <w:color w:val="auto"/>
                <w:kern w:val="0"/>
                <w:sz w:val="21"/>
                <w:szCs w:val="21"/>
                <w:lang w:eastAsia="zh-CN"/>
              </w:rPr>
            </w:pPr>
            <w:r>
              <w:rPr>
                <w:rFonts w:ascii="Times New Roman" w:hAnsi="Times New Roman" w:eastAsia="宋体" w:cs="Times New Roman"/>
                <w:color w:val="auto"/>
                <w:kern w:val="0"/>
                <w:sz w:val="21"/>
                <w:szCs w:val="21"/>
              </w:rPr>
              <w:t>本</w:t>
            </w:r>
            <w:r>
              <w:rPr>
                <w:rFonts w:hint="default" w:ascii="Times New Roman" w:hAnsi="Times New Roman" w:eastAsia="宋体" w:cs="Times New Roman"/>
                <w:color w:val="auto"/>
                <w:kern w:val="0"/>
                <w:sz w:val="21"/>
                <w:szCs w:val="21"/>
              </w:rPr>
              <w:t>项目为</w:t>
            </w:r>
            <w:r>
              <w:rPr>
                <w:rFonts w:hint="default" w:ascii="Times New Roman" w:hAnsi="Times New Roman" w:eastAsia="宋体" w:cs="Times New Roman"/>
                <w:color w:val="auto"/>
                <w:kern w:val="0"/>
                <w:sz w:val="21"/>
                <w:szCs w:val="21"/>
                <w:lang w:val="en-US" w:eastAsia="zh-CN"/>
              </w:rPr>
              <w:t>临时水稳、沥青拌合料站项目</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n-US" w:eastAsia="zh-CN"/>
              </w:rPr>
              <w:t>位于达州钢铁搬迁项目厂址红线范围内，</w:t>
            </w:r>
            <w:r>
              <w:rPr>
                <w:rFonts w:hint="eastAsia" w:ascii="Times New Roman" w:hAnsi="Times New Roman" w:eastAsia="宋体" w:cs="Times New Roman"/>
                <w:color w:val="auto"/>
                <w:kern w:val="0"/>
                <w:sz w:val="21"/>
                <w:szCs w:val="21"/>
                <w:lang w:val="en-US" w:eastAsia="zh-CN"/>
              </w:rPr>
              <w:t>在达州钢铁搬迁项目建成后将自行拆除(拆除时间不晚于2025年6月30日)。项目占地</w:t>
            </w:r>
            <w:r>
              <w:rPr>
                <w:rFonts w:hint="default" w:ascii="Times New Roman" w:hAnsi="Times New Roman" w:eastAsia="宋体" w:cs="Times New Roman"/>
                <w:color w:val="auto"/>
                <w:kern w:val="0"/>
                <w:sz w:val="21"/>
                <w:szCs w:val="21"/>
                <w:lang w:val="en-US" w:eastAsia="zh-CN"/>
              </w:rPr>
              <w:t>面积</w:t>
            </w:r>
            <w:r>
              <w:rPr>
                <w:rFonts w:hint="default" w:ascii="Times New Roman" w:hAnsi="Times New Roman" w:eastAsia="宋体" w:cs="Times New Roman"/>
                <w:color w:val="auto"/>
                <w:kern w:val="0"/>
                <w:sz w:val="21"/>
                <w:szCs w:val="21"/>
                <w:lang w:val="en-US" w:eastAsia="zh-CN"/>
              </w:rPr>
              <w:t>4000m</w:t>
            </w:r>
            <w:r>
              <w:rPr>
                <w:rFonts w:hint="default" w:ascii="Times New Roman" w:hAnsi="Times New Roman" w:eastAsia="宋体" w:cs="Times New Roman"/>
                <w:color w:val="auto"/>
                <w:kern w:val="0"/>
                <w:sz w:val="21"/>
                <w:szCs w:val="21"/>
                <w:vertAlign w:val="superscript"/>
              </w:rPr>
              <w:t>2</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n-US" w:eastAsia="zh-CN"/>
              </w:rPr>
              <w:t>拟</w:t>
            </w:r>
            <w:r>
              <w:rPr>
                <w:rFonts w:hint="default" w:ascii="Times New Roman" w:hAnsi="Times New Roman" w:eastAsia="宋体" w:cs="Times New Roman"/>
                <w:color w:val="auto"/>
                <w:kern w:val="0"/>
                <w:sz w:val="21"/>
                <w:szCs w:val="21"/>
              </w:rPr>
              <w:t>建1座白特-2500型沥青混合料拌合站及1座山东重工600型水稳拌合站，同时配套建设导热油锅炉、沥青罐、柴油罐等，厂区不设食宿。建成后预计年加工沥青混合料约2.6万m³，水稳料9万m³。项目总投资</w:t>
            </w:r>
            <w:r>
              <w:rPr>
                <w:rFonts w:hint="default" w:ascii="Times New Roman" w:hAnsi="Times New Roman" w:eastAsia="宋体" w:cs="Times New Roman"/>
                <w:color w:val="auto"/>
                <w:kern w:val="0"/>
                <w:sz w:val="21"/>
                <w:szCs w:val="21"/>
                <w:lang w:val="en-US" w:eastAsia="zh-CN"/>
              </w:rPr>
              <w:t>600</w:t>
            </w:r>
            <w:r>
              <w:rPr>
                <w:rFonts w:hint="default" w:ascii="Times New Roman" w:hAnsi="Times New Roman" w:eastAsia="宋体" w:cs="Times New Roman"/>
                <w:color w:val="auto"/>
                <w:kern w:val="0"/>
                <w:sz w:val="21"/>
                <w:szCs w:val="21"/>
              </w:rPr>
              <w:t>万元，环保投资</w:t>
            </w:r>
            <w:r>
              <w:rPr>
                <w:rFonts w:hint="default" w:ascii="Times New Roman" w:hAnsi="Times New Roman" w:eastAsia="宋体" w:cs="Times New Roman"/>
                <w:color w:val="auto"/>
                <w:kern w:val="0"/>
                <w:sz w:val="21"/>
                <w:szCs w:val="21"/>
                <w:lang w:val="en-US" w:eastAsia="zh-CN"/>
              </w:rPr>
              <w:t>96.5</w:t>
            </w:r>
            <w:r>
              <w:rPr>
                <w:rFonts w:hint="default" w:ascii="Times New Roman" w:hAnsi="Times New Roman" w:eastAsia="宋体" w:cs="Times New Roman"/>
                <w:color w:val="auto"/>
                <w:kern w:val="0"/>
                <w:sz w:val="21"/>
                <w:szCs w:val="21"/>
              </w:rPr>
              <w:t>万元，环保投资占比</w:t>
            </w:r>
            <w:r>
              <w:rPr>
                <w:rFonts w:hint="default" w:ascii="Times New Roman" w:hAnsi="Times New Roman" w:eastAsia="宋体" w:cs="Times New Roman"/>
                <w:color w:val="auto"/>
                <w:kern w:val="0"/>
                <w:sz w:val="21"/>
                <w:szCs w:val="21"/>
                <w:lang w:val="en-US" w:eastAsia="zh-CN"/>
              </w:rPr>
              <w:t>16.1</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rPr>
              <w:t>。</w:t>
            </w:r>
          </w:p>
          <w:p w14:paraId="246677F8">
            <w:pPr>
              <w:spacing w:after="0" w:line="240" w:lineRule="auto"/>
              <w:jc w:val="both"/>
              <w:rPr>
                <w:rFonts w:hint="eastAsia" w:ascii="Times New Roman" w:hAnsi="Times New Roman" w:eastAsia="宋体" w:cs="Times New Roman"/>
                <w:color w:val="FF0000"/>
                <w:sz w:val="21"/>
                <w:szCs w:val="21"/>
                <w:lang w:eastAsia="zh-CN"/>
              </w:rPr>
            </w:pPr>
          </w:p>
        </w:tc>
        <w:tc>
          <w:tcPr>
            <w:tcW w:w="3021" w:type="pct"/>
            <w:vAlign w:val="center"/>
          </w:tcPr>
          <w:p w14:paraId="6B04EEB3">
            <w:pPr>
              <w:keepNext w:val="0"/>
              <w:keepLines w:val="0"/>
              <w:pageBreakBefore w:val="0"/>
              <w:numPr>
                <w:ilvl w:val="0"/>
                <w:numId w:val="0"/>
              </w:numPr>
              <w:kinsoku/>
              <w:overflowPunct/>
              <w:topLinePunct w:val="0"/>
              <w:autoSpaceDE/>
              <w:autoSpaceDN/>
              <w:bidi w:val="0"/>
              <w:adjustRightInd/>
              <w:snapToGrid/>
              <w:spacing w:after="0" w:line="240" w:lineRule="auto"/>
              <w:ind w:firstLine="422" w:firstLineChars="200"/>
              <w:jc w:val="both"/>
              <w:textAlignment w:val="auto"/>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kern w:val="2"/>
                <w:sz w:val="21"/>
                <w:szCs w:val="21"/>
                <w:lang w:val="en-US" w:eastAsia="zh-CN" w:bidi="ar-SA"/>
                <w14:ligatures w14:val="standardContextual"/>
              </w:rPr>
              <w:t>一、</w:t>
            </w:r>
            <w:r>
              <w:rPr>
                <w:rFonts w:ascii="Times New Roman" w:hAnsi="Times New Roman" w:eastAsia="宋体" w:cs="Times New Roman"/>
                <w:b/>
                <w:bCs/>
                <w:color w:val="auto"/>
                <w:sz w:val="21"/>
                <w:szCs w:val="21"/>
              </w:rPr>
              <w:t>施工期环境保护措施</w:t>
            </w:r>
          </w:p>
          <w:p w14:paraId="0755C96A">
            <w:pPr>
              <w:keepNext w:val="0"/>
              <w:keepLines w:val="0"/>
              <w:pageBreakBefore w:val="0"/>
              <w:widowControl/>
              <w:kinsoku/>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val="en-US" w:eastAsia="zh-CN"/>
              </w:rPr>
              <w:t>废气</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rPr>
              <w:t>工地周边围挡、物料堆放覆盖、出入车辆冲洗、施工现场道路及材料堆场硬化、工地湿法作业及渣土车辆密闭运输。</w:t>
            </w:r>
          </w:p>
          <w:p w14:paraId="67E6F123">
            <w:pPr>
              <w:keepNext w:val="0"/>
              <w:keepLines w:val="0"/>
              <w:pageBreakBefore w:val="0"/>
              <w:widowControl/>
              <w:kinsoku/>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r>
              <w:rPr>
                <w:rFonts w:hint="eastAsia" w:ascii="Times New Roman" w:hAnsi="Times New Roman" w:eastAsia="宋体" w:cs="Times New Roman"/>
                <w:color w:val="auto"/>
                <w:kern w:val="0"/>
                <w:sz w:val="21"/>
                <w:szCs w:val="21"/>
                <w:lang w:val="en-US" w:eastAsia="zh-CN"/>
              </w:rPr>
              <w:t>废水</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rPr>
              <w:t>在场界周围修建截排水沟，施工区域内修建一个临时沉砂池，施工废水排入沉砂池内，静置沉淀后全部回用。</w:t>
            </w:r>
          </w:p>
          <w:p w14:paraId="12D23C62">
            <w:pPr>
              <w:keepNext w:val="0"/>
              <w:keepLines w:val="0"/>
              <w:pageBreakBefore w:val="0"/>
              <w:widowControl/>
              <w:kinsoku/>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rPr>
              <w:t>3、</w:t>
            </w:r>
            <w:r>
              <w:rPr>
                <w:rFonts w:hint="eastAsia" w:ascii="Times New Roman" w:hAnsi="Times New Roman" w:eastAsia="宋体" w:cs="Times New Roman"/>
                <w:color w:val="auto"/>
                <w:kern w:val="0"/>
                <w:sz w:val="21"/>
                <w:szCs w:val="21"/>
                <w:lang w:val="en-US" w:eastAsia="zh-CN"/>
              </w:rPr>
              <w:t>噪声</w:t>
            </w:r>
            <w:r>
              <w:rPr>
                <w:rFonts w:hint="eastAsia" w:ascii="Times New Roman" w:hAnsi="Times New Roman" w:eastAsia="宋体" w:cs="Times New Roman"/>
                <w:color w:val="auto"/>
                <w:kern w:val="0"/>
                <w:sz w:val="21"/>
                <w:szCs w:val="21"/>
              </w:rPr>
              <w:t>：合理布局施工现场</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加强施工现场管理，减少现场人为的噪声影响</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合理安排施工时间，严禁夜间进行高噪声施工作</w:t>
            </w:r>
            <w:bookmarkStart w:id="0" w:name="_GoBack"/>
            <w:bookmarkEnd w:id="0"/>
            <w:r>
              <w:rPr>
                <w:rFonts w:hint="eastAsia" w:ascii="Times New Roman" w:hAnsi="Times New Roman" w:eastAsia="宋体" w:cs="Times New Roman"/>
                <w:color w:val="auto"/>
                <w:kern w:val="0"/>
                <w:sz w:val="21"/>
                <w:szCs w:val="21"/>
              </w:rPr>
              <w:t>业</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选用低噪声施工设备，并配备减震装置</w:t>
            </w:r>
            <w:r>
              <w:rPr>
                <w:rFonts w:hint="eastAsia" w:ascii="Times New Roman" w:hAnsi="Times New Roman" w:eastAsia="宋体" w:cs="Times New Roman"/>
                <w:color w:val="auto"/>
                <w:kern w:val="0"/>
                <w:sz w:val="21"/>
                <w:szCs w:val="21"/>
                <w:lang w:eastAsia="zh-CN"/>
              </w:rPr>
              <w:t>。</w:t>
            </w:r>
          </w:p>
          <w:p w14:paraId="0CD1165F">
            <w:pPr>
              <w:keepNext w:val="0"/>
              <w:keepLines w:val="0"/>
              <w:pageBreakBefore w:val="0"/>
              <w:widowControl/>
              <w:kinsoku/>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r>
              <w:rPr>
                <w:rFonts w:hint="eastAsia" w:ascii="Times New Roman" w:hAnsi="Times New Roman" w:eastAsia="宋体" w:cs="Times New Roman"/>
                <w:color w:val="auto"/>
                <w:kern w:val="0"/>
                <w:sz w:val="21"/>
                <w:szCs w:val="21"/>
              </w:rPr>
              <w:t>固体废物</w:t>
            </w:r>
            <w:r>
              <w:rPr>
                <w:rFonts w:ascii="Times New Roman" w:hAnsi="Times New Roman" w:eastAsia="宋体" w:cs="Times New Roman"/>
                <w:color w:val="auto"/>
                <w:kern w:val="0"/>
                <w:sz w:val="21"/>
                <w:szCs w:val="21"/>
              </w:rPr>
              <w:t>：生活垃圾采取集中收集后交当地环卫部门进行清运；可回收利用的建筑垃圾应回收利用，其他不能回收利用的建筑垃圾及时清运至政府指定的建筑垃圾弃渣场处置。</w:t>
            </w:r>
          </w:p>
          <w:p w14:paraId="0E00A868">
            <w:pPr>
              <w:keepNext w:val="0"/>
              <w:keepLines w:val="0"/>
              <w:pageBreakBefore w:val="0"/>
              <w:widowControl/>
              <w:numPr>
                <w:ilvl w:val="0"/>
                <w:numId w:val="0"/>
              </w:numPr>
              <w:kinsoku/>
              <w:overflowPunct/>
              <w:topLinePunct w:val="0"/>
              <w:autoSpaceDE/>
              <w:autoSpaceDN/>
              <w:bidi w:val="0"/>
              <w:adjustRightInd/>
              <w:snapToGrid/>
              <w:spacing w:after="0" w:line="240" w:lineRule="auto"/>
              <w:ind w:firstLine="422" w:firstLineChars="200"/>
              <w:jc w:val="both"/>
              <w:textAlignment w:val="auto"/>
              <w:rPr>
                <w:rFonts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val="en-US" w:eastAsia="zh-CN" w:bidi="ar-SA"/>
                <w14:ligatures w14:val="standardContextual"/>
              </w:rPr>
              <w:t>二、</w:t>
            </w:r>
            <w:r>
              <w:rPr>
                <w:rFonts w:ascii="Times New Roman" w:hAnsi="Times New Roman" w:eastAsia="宋体" w:cs="Times New Roman"/>
                <w:b/>
                <w:bCs/>
                <w:color w:val="auto"/>
                <w:kern w:val="0"/>
                <w:sz w:val="21"/>
                <w:szCs w:val="21"/>
              </w:rPr>
              <w:t>运营期环境保护措施</w:t>
            </w:r>
          </w:p>
          <w:p w14:paraId="1A901BC1">
            <w:pPr>
              <w:keepNext w:val="0"/>
              <w:keepLines w:val="0"/>
              <w:pageBreakBefore w:val="0"/>
              <w:widowControl/>
              <w:numPr>
                <w:ilvl w:val="0"/>
                <w:numId w:val="0"/>
              </w:numPr>
              <w:kinsoku/>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lang w:val="en-US" w:eastAsia="zh-CN" w:bidi="ar-SA"/>
                <w14:ligatures w14:val="standardContextual"/>
              </w:rPr>
              <w:t>1、</w:t>
            </w:r>
            <w:r>
              <w:rPr>
                <w:rFonts w:hint="eastAsia" w:ascii="Times New Roman" w:hAnsi="Times New Roman" w:eastAsia="宋体" w:cs="Times New Roman"/>
                <w:color w:val="auto"/>
                <w:kern w:val="0"/>
                <w:sz w:val="21"/>
                <w:szCs w:val="21"/>
                <w:lang w:val="en-US" w:eastAsia="zh-CN"/>
              </w:rPr>
              <w:t>废气</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rPr>
              <w:t>沥青储罐呼吸口设置集气管，沥青混凝土出料口设置集气罩，将两个位置的沥青废气收集后，统一经“丝网过滤+电捕焦油器+二级活性炭吸附装置（活性炭碘值不低于800mg/g）”+15m排气筒排放；沥青骨料烘干系统及筛分系统废气经布袋除尘器处理后由</w:t>
            </w:r>
            <w:r>
              <w:rPr>
                <w:rFonts w:hint="eastAsia" w:ascii="Times New Roman" w:hAnsi="Times New Roman" w:eastAsia="宋体" w:cs="Times New Roman"/>
                <w:color w:val="auto"/>
                <w:kern w:val="0"/>
                <w:sz w:val="21"/>
                <w:szCs w:val="21"/>
                <w:lang w:val="en-US" w:eastAsia="zh-CN"/>
              </w:rPr>
              <w:t>15</w:t>
            </w:r>
            <w:r>
              <w:rPr>
                <w:rFonts w:hint="eastAsia" w:ascii="Times New Roman" w:hAnsi="Times New Roman" w:eastAsia="宋体" w:cs="Times New Roman"/>
                <w:color w:val="auto"/>
                <w:kern w:val="0"/>
                <w:sz w:val="21"/>
                <w:szCs w:val="21"/>
              </w:rPr>
              <w:t>m排气筒高空排放；水泥及矿粉等筒仓呼吸孔粉尘由仓顶脉冲布袋除尘器处理后排放。骨料堆场均采取全封闭措施，建成密闭式的料仓，顶部建遮雨棚，四面建围挡；骨料铲装、转运作业均在封闭的堆场内进行；在水稳骨料堆场内顶部及四周安装喷雾</w:t>
            </w:r>
            <w:r>
              <w:rPr>
                <w:rFonts w:hint="eastAsia" w:ascii="Times New Roman" w:hAnsi="Times New Roman" w:eastAsia="宋体" w:cs="Times New Roman"/>
                <w:color w:val="auto"/>
                <w:kern w:val="0"/>
                <w:sz w:val="21"/>
                <w:szCs w:val="21"/>
                <w:lang w:eastAsia="zh-CN"/>
              </w:rPr>
              <w:t>洒水装置</w:t>
            </w:r>
            <w:r>
              <w:rPr>
                <w:rFonts w:hint="eastAsia" w:ascii="Times New Roman" w:hAnsi="Times New Roman" w:eastAsia="宋体" w:cs="Times New Roman"/>
                <w:color w:val="auto"/>
                <w:kern w:val="0"/>
                <w:sz w:val="21"/>
                <w:szCs w:val="21"/>
              </w:rPr>
              <w:t>，在配料斗落料口上方安装喷雾洒水装置。对搅拌机进料口密闭，并安装集气罩，将搅拌机进料粉尘收集至袋式除尘器处理后排放</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在搅拌机上方设置喷雾</w:t>
            </w:r>
            <w:r>
              <w:rPr>
                <w:rFonts w:hint="eastAsia" w:ascii="Times New Roman" w:hAnsi="Times New Roman" w:eastAsia="宋体" w:cs="Times New Roman"/>
                <w:color w:val="auto"/>
                <w:kern w:val="0"/>
                <w:sz w:val="21"/>
                <w:szCs w:val="21"/>
                <w:lang w:eastAsia="zh-CN"/>
              </w:rPr>
              <w:t>洒水</w:t>
            </w:r>
            <w:r>
              <w:rPr>
                <w:rFonts w:hint="eastAsia" w:ascii="Times New Roman" w:hAnsi="Times New Roman" w:eastAsia="宋体" w:cs="Times New Roman"/>
                <w:color w:val="auto"/>
                <w:kern w:val="0"/>
                <w:sz w:val="21"/>
                <w:szCs w:val="21"/>
              </w:rPr>
              <w:t>装置。导热油锅炉</w:t>
            </w:r>
            <w:r>
              <w:rPr>
                <w:rFonts w:hint="eastAsia" w:ascii="Times New Roman" w:hAnsi="Times New Roman" w:eastAsia="宋体" w:cs="Times New Roman"/>
                <w:color w:val="auto"/>
                <w:kern w:val="0"/>
                <w:sz w:val="21"/>
                <w:szCs w:val="21"/>
                <w:lang w:val="en-US" w:eastAsia="zh-CN"/>
              </w:rPr>
              <w:t>产生的</w:t>
            </w:r>
            <w:r>
              <w:rPr>
                <w:rFonts w:hint="eastAsia" w:ascii="Times New Roman" w:hAnsi="Times New Roman" w:eastAsia="宋体" w:cs="Times New Roman"/>
                <w:color w:val="auto"/>
                <w:kern w:val="0"/>
                <w:sz w:val="21"/>
                <w:szCs w:val="21"/>
              </w:rPr>
              <w:t>燃烧烟气</w:t>
            </w:r>
            <w:r>
              <w:rPr>
                <w:rFonts w:hint="eastAsia" w:ascii="Times New Roman" w:hAnsi="Times New Roman" w:eastAsia="宋体" w:cs="Times New Roman"/>
                <w:color w:val="auto"/>
                <w:kern w:val="0"/>
                <w:sz w:val="21"/>
                <w:szCs w:val="21"/>
                <w:lang w:val="en-US" w:eastAsia="zh-CN"/>
              </w:rPr>
              <w:t>经</w:t>
            </w:r>
            <w:r>
              <w:rPr>
                <w:rFonts w:hint="eastAsia" w:ascii="Times New Roman" w:hAnsi="Times New Roman" w:eastAsia="宋体" w:cs="Times New Roman"/>
                <w:color w:val="auto"/>
                <w:kern w:val="0"/>
                <w:sz w:val="21"/>
                <w:szCs w:val="21"/>
              </w:rPr>
              <w:t>8m排气筒高空排放。</w:t>
            </w:r>
          </w:p>
          <w:p w14:paraId="527BED3D">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FF0000"/>
                <w:kern w:val="0"/>
                <w:sz w:val="21"/>
                <w:szCs w:val="21"/>
              </w:rPr>
            </w:pPr>
            <w:r>
              <w:rPr>
                <w:rFonts w:ascii="Times New Roman" w:hAnsi="Times New Roman" w:eastAsia="宋体" w:cs="Times New Roman"/>
                <w:color w:val="auto"/>
                <w:kern w:val="0"/>
                <w:sz w:val="21"/>
                <w:szCs w:val="21"/>
                <w:lang w:val="en-US" w:eastAsia="zh-CN" w:bidi="ar-SA"/>
                <w14:ligatures w14:val="standardContextual"/>
              </w:rPr>
              <w:t>2、</w:t>
            </w:r>
            <w:r>
              <w:rPr>
                <w:rFonts w:hint="eastAsia" w:ascii="Times New Roman" w:hAnsi="Times New Roman" w:eastAsia="宋体" w:cs="Times New Roman"/>
                <w:color w:val="auto"/>
                <w:kern w:val="0"/>
                <w:sz w:val="21"/>
                <w:szCs w:val="21"/>
                <w:lang w:val="en-US" w:eastAsia="zh-CN"/>
              </w:rPr>
              <w:t>废水</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rPr>
              <w:t>生活污水经化粪池（5</w:t>
            </w:r>
            <w:r>
              <w:rPr>
                <w:rFonts w:hint="eastAsia" w:ascii="Times New Roman" w:hAnsi="Times New Roman" w:eastAsia="宋体" w:cs="Times New Roman"/>
                <w:color w:val="auto"/>
                <w:kern w:val="0"/>
                <w:sz w:val="21"/>
                <w:szCs w:val="21"/>
                <w:lang w:val="en-US" w:eastAsia="zh-CN"/>
              </w:rPr>
              <w:t>m³</w:t>
            </w:r>
            <w:r>
              <w:rPr>
                <w:rFonts w:hint="eastAsia" w:ascii="Times New Roman" w:hAnsi="Times New Roman" w:eastAsia="宋体" w:cs="Times New Roman"/>
                <w:color w:val="auto"/>
                <w:kern w:val="0"/>
                <w:sz w:val="21"/>
                <w:szCs w:val="21"/>
              </w:rPr>
              <w:t>）预处理后，委托环卫部门定期拉运至附近的麻柳污水处理厂处理；地坪冲洗废水、水泥稳定料搅拌机及输送皮带清洗废水</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洗车废水等经收集沉淀处理后回用，不外排放。</w:t>
            </w:r>
          </w:p>
          <w:p w14:paraId="5A66ED9A">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FF0000"/>
                <w:kern w:val="0"/>
                <w:sz w:val="21"/>
                <w:szCs w:val="21"/>
              </w:rPr>
            </w:pPr>
            <w:r>
              <w:rPr>
                <w:rFonts w:ascii="Times New Roman" w:hAnsi="Times New Roman" w:eastAsia="宋体" w:cs="Times New Roman"/>
                <w:color w:val="auto"/>
                <w:kern w:val="0"/>
                <w:sz w:val="21"/>
                <w:szCs w:val="21"/>
                <w:lang w:val="en-US" w:eastAsia="zh-CN" w:bidi="ar-SA"/>
                <w14:ligatures w14:val="standardContextual"/>
              </w:rPr>
              <w:t>3、</w:t>
            </w:r>
            <w:r>
              <w:rPr>
                <w:rFonts w:hint="eastAsia" w:ascii="Times New Roman" w:hAnsi="Times New Roman" w:eastAsia="宋体" w:cs="Times New Roman"/>
                <w:color w:val="auto"/>
                <w:kern w:val="0"/>
                <w:sz w:val="21"/>
                <w:szCs w:val="21"/>
                <w:lang w:val="en-US" w:eastAsia="zh-CN"/>
              </w:rPr>
              <w:t>噪声</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境在设备选型时优先选择低噪声的设备，</w:t>
            </w:r>
            <w:r>
              <w:rPr>
                <w:rFonts w:hint="eastAsia" w:ascii="Times New Roman" w:hAnsi="Times New Roman" w:eastAsia="宋体" w:cs="Times New Roman"/>
                <w:color w:val="auto"/>
                <w:kern w:val="0"/>
                <w:sz w:val="21"/>
                <w:szCs w:val="21"/>
              </w:rPr>
              <w:t>加强对各类机械设备的维护保养</w:t>
            </w:r>
            <w:r>
              <w:rPr>
                <w:rFonts w:hint="eastAsia" w:ascii="Times New Roman" w:hAnsi="Times New Roman" w:eastAsia="宋体" w:cs="Times New Roman"/>
                <w:color w:val="auto"/>
                <w:kern w:val="0"/>
                <w:sz w:val="21"/>
                <w:szCs w:val="21"/>
                <w:lang w:eastAsia="zh-CN"/>
              </w:rPr>
              <w:t>，设备基础设置减振装置</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spacing w:val="8"/>
                <w:sz w:val="21"/>
                <w:szCs w:val="21"/>
                <w:lang w:val="en-US" w:eastAsia="zh-CN"/>
              </w:rPr>
              <w:t>轻钢材料对搅拌设备进行全封闭，引风机等设备设置专用的房间，骨料堆场采取封闭措施，振动筛筛体外包消音棉。</w:t>
            </w:r>
          </w:p>
          <w:p w14:paraId="3C9C36F9">
            <w:pPr>
              <w:keepNext w:val="0"/>
              <w:keepLines w:val="0"/>
              <w:pageBreakBefore w:val="0"/>
              <w:widowControl/>
              <w:kinsoku/>
              <w:wordWrap w:val="0"/>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4</w:t>
            </w:r>
            <w:r>
              <w:rPr>
                <w:rFonts w:ascii="Times New Roman" w:hAnsi="Times New Roman" w:eastAsia="宋体" w:cs="Times New Roman"/>
                <w:color w:val="auto"/>
                <w:kern w:val="0"/>
                <w:sz w:val="21"/>
                <w:szCs w:val="21"/>
              </w:rPr>
              <w:t>、固体废物：</w:t>
            </w:r>
            <w:r>
              <w:rPr>
                <w:rFonts w:hint="eastAsia" w:ascii="Times New Roman" w:hAnsi="Times New Roman" w:eastAsia="宋体" w:cs="Times New Roman"/>
                <w:color w:val="auto"/>
                <w:kern w:val="0"/>
                <w:sz w:val="21"/>
                <w:szCs w:val="21"/>
              </w:rPr>
              <w:t>生活垃圾统一收集后交由环卫部门统一清运处理；振动筛筛选的不合格碎石，送回骨料堆场暂存，由石料供应商定期回收破碎后重新利用；滴漏沥青及拌和残渣，回收利用；除尘灰全部回收作为原料返回生产；沉淀池沉渣可返回水泥稳定土生产综合利用；废除尘器布袋集中收集由原厂回收。设置危废暂存间1座，面积10㎡。废润滑油、废润滑油桶、含油棉纱及手套、废弃活性炭及电捕焦油等：分类暂存于危废暂存间，定期交由资质单位进行处理。</w:t>
            </w:r>
          </w:p>
          <w:p w14:paraId="074319D2">
            <w:pPr>
              <w:keepNext w:val="0"/>
              <w:keepLines w:val="0"/>
              <w:pageBreakBefore w:val="0"/>
              <w:widowControl/>
              <w:kinsoku/>
              <w:wordWrap w:val="0"/>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5、地下水和土壤：危废暂存间</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导热油、柴油及</w:t>
            </w:r>
            <w:r>
              <w:rPr>
                <w:rFonts w:hint="eastAsia" w:ascii="Times New Roman" w:hAnsi="Times New Roman" w:eastAsia="宋体" w:cs="Times New Roman"/>
                <w:color w:val="auto"/>
                <w:kern w:val="0"/>
                <w:sz w:val="21"/>
                <w:szCs w:val="21"/>
              </w:rPr>
              <w:t>沥青</w:t>
            </w:r>
            <w:r>
              <w:rPr>
                <w:rFonts w:hint="eastAsia" w:ascii="Times New Roman" w:hAnsi="Times New Roman" w:eastAsia="宋体" w:cs="Times New Roman"/>
                <w:color w:val="auto"/>
                <w:kern w:val="0"/>
                <w:sz w:val="21"/>
                <w:szCs w:val="21"/>
                <w:lang w:val="en-US" w:eastAsia="zh-CN"/>
              </w:rPr>
              <w:t>等</w:t>
            </w:r>
            <w:r>
              <w:rPr>
                <w:rFonts w:hint="eastAsia" w:ascii="Times New Roman" w:hAnsi="Times New Roman" w:eastAsia="宋体" w:cs="Times New Roman"/>
                <w:color w:val="auto"/>
                <w:kern w:val="0"/>
                <w:sz w:val="21"/>
                <w:szCs w:val="21"/>
              </w:rPr>
              <w:t>储罐区</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沥青</w:t>
            </w:r>
            <w:r>
              <w:rPr>
                <w:rFonts w:hint="eastAsia" w:ascii="Times New Roman" w:hAnsi="Times New Roman" w:eastAsia="宋体" w:cs="Times New Roman"/>
                <w:color w:val="auto"/>
                <w:kern w:val="0"/>
                <w:sz w:val="21"/>
                <w:szCs w:val="21"/>
              </w:rPr>
              <w:t>拌合区域</w:t>
            </w:r>
            <w:r>
              <w:rPr>
                <w:rFonts w:hint="eastAsia" w:ascii="Times New Roman" w:hAnsi="Times New Roman" w:eastAsia="宋体" w:cs="Times New Roman"/>
                <w:color w:val="auto"/>
                <w:kern w:val="0"/>
                <w:sz w:val="21"/>
                <w:szCs w:val="21"/>
                <w:lang w:val="en-US" w:eastAsia="zh-CN"/>
              </w:rPr>
              <w:t>等，采取“</w:t>
            </w:r>
            <w:r>
              <w:rPr>
                <w:rFonts w:hint="eastAsia" w:ascii="Times New Roman" w:hAnsi="Times New Roman" w:eastAsia="宋体" w:cs="Times New Roman"/>
                <w:color w:val="auto"/>
                <w:kern w:val="0"/>
                <w:sz w:val="21"/>
                <w:szCs w:val="21"/>
              </w:rPr>
              <w:t>HDPE膜+防渗混凝土</w:t>
            </w:r>
            <w:r>
              <w:rPr>
                <w:rFonts w:hint="eastAsia" w:ascii="Times New Roman" w:hAnsi="Times New Roman" w:eastAsia="宋体" w:cs="Times New Roman"/>
                <w:color w:val="auto"/>
                <w:kern w:val="0"/>
                <w:sz w:val="21"/>
                <w:szCs w:val="21"/>
                <w:lang w:val="en-US" w:eastAsia="zh-CN"/>
              </w:rPr>
              <w:t>”防渗措施进行重点防渗；化粪池</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雨水收集</w:t>
            </w:r>
            <w:r>
              <w:rPr>
                <w:rFonts w:hint="eastAsia" w:ascii="Times New Roman" w:hAnsi="Times New Roman" w:eastAsia="宋体" w:cs="Times New Roman"/>
                <w:color w:val="auto"/>
                <w:kern w:val="0"/>
                <w:sz w:val="21"/>
                <w:szCs w:val="21"/>
                <w:lang w:val="en-US" w:eastAsia="zh-CN"/>
              </w:rPr>
              <w:t>沉淀</w:t>
            </w:r>
            <w:r>
              <w:rPr>
                <w:rFonts w:hint="eastAsia" w:ascii="Times New Roman" w:hAnsi="Times New Roman" w:eastAsia="宋体" w:cs="Times New Roman"/>
                <w:color w:val="auto"/>
                <w:kern w:val="0"/>
                <w:sz w:val="21"/>
                <w:szCs w:val="21"/>
              </w:rPr>
              <w:t>池</w:t>
            </w:r>
            <w:r>
              <w:rPr>
                <w:rFonts w:hint="eastAsia" w:ascii="Times New Roman" w:hAnsi="Times New Roman" w:eastAsia="宋体" w:cs="Times New Roman"/>
                <w:color w:val="auto"/>
                <w:kern w:val="0"/>
                <w:sz w:val="21"/>
                <w:szCs w:val="21"/>
                <w:lang w:val="en-US" w:eastAsia="zh-CN"/>
              </w:rPr>
              <w:t>及车辆冲洗废水沉淀池等，采取抗渗混凝土防渗进行一般防渗；厂区道路及其他，采取混凝土硬化防渗。</w:t>
            </w:r>
          </w:p>
          <w:p w14:paraId="0C05CADD">
            <w:pPr>
              <w:keepNext w:val="0"/>
              <w:keepLines w:val="0"/>
              <w:pageBreakBefore w:val="0"/>
              <w:widowControl/>
              <w:kinsoku/>
              <w:wordWrap w:val="0"/>
              <w:overflowPunct/>
              <w:topLinePunct w:val="0"/>
              <w:autoSpaceDE/>
              <w:autoSpaceDN/>
              <w:bidi w:val="0"/>
              <w:adjustRightInd/>
              <w:snapToGrid/>
              <w:spacing w:after="0" w:line="240" w:lineRule="auto"/>
              <w:ind w:firstLine="422" w:firstLineChars="200"/>
              <w:jc w:val="both"/>
              <w:textAlignment w:val="auto"/>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三、环境风险</w:t>
            </w:r>
          </w:p>
          <w:p w14:paraId="146CBF09">
            <w:pPr>
              <w:keepNext w:val="0"/>
              <w:keepLines w:val="0"/>
              <w:pageBreakBefore w:val="0"/>
              <w:widowControl/>
              <w:kinsoku/>
              <w:wordWrap w:val="0"/>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罐区周围修建防渗围堰，围堰容积大于最大沥青储罐容量，不小于50m³。在储罐安装高液位报警装置；在沥青储罐、导热油罐区设立警告牌（严禁烟火）和可燃气报警装置；沥青罐、导热油罐及其管线区域按消防要求布置消防设施，主要包括消防沙、灭火器、吸油毡布等；制定突发环境事件应急预案，开展应急演练。</w:t>
            </w:r>
          </w:p>
          <w:p w14:paraId="671C822A">
            <w:pPr>
              <w:keepNext w:val="0"/>
              <w:keepLines w:val="0"/>
              <w:pageBreakBefore w:val="0"/>
              <w:widowControl/>
              <w:kinsoku/>
              <w:wordWrap w:val="0"/>
              <w:overflowPunct/>
              <w:topLinePunct w:val="0"/>
              <w:autoSpaceDE/>
              <w:autoSpaceDN/>
              <w:bidi w:val="0"/>
              <w:adjustRightInd/>
              <w:snapToGrid/>
              <w:spacing w:after="0" w:line="240" w:lineRule="auto"/>
              <w:ind w:firstLine="422" w:firstLineChars="200"/>
              <w:jc w:val="both"/>
              <w:textAlignment w:val="auto"/>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四、其他部门意见</w:t>
            </w:r>
          </w:p>
          <w:p w14:paraId="5DFE9163">
            <w:pPr>
              <w:keepNext w:val="0"/>
              <w:keepLines w:val="0"/>
              <w:pageBreakBefore w:val="0"/>
              <w:widowControl/>
              <w:kinsoku/>
              <w:overflowPunct/>
              <w:topLinePunct w:val="0"/>
              <w:autoSpaceDE/>
              <w:autoSpaceDN/>
              <w:bidi w:val="0"/>
              <w:adjustRightInd/>
              <w:snapToGrid/>
              <w:spacing w:after="0" w:line="240" w:lineRule="auto"/>
              <w:ind w:firstLine="420" w:firstLineChars="200"/>
              <w:jc w:val="both"/>
              <w:textAlignment w:val="auto"/>
              <w:rPr>
                <w:rFonts w:ascii="Times New Roman" w:hAnsi="Times New Roman" w:eastAsia="宋体" w:cs="Times New Roman"/>
                <w:color w:val="FF0000"/>
                <w:sz w:val="21"/>
                <w:szCs w:val="21"/>
              </w:rPr>
            </w:pPr>
            <w:r>
              <w:rPr>
                <w:rFonts w:ascii="Times New Roman" w:hAnsi="Times New Roman" w:eastAsia="宋体" w:cs="Times New Roman"/>
                <w:color w:val="auto"/>
                <w:kern w:val="0"/>
                <w:sz w:val="21"/>
                <w:szCs w:val="21"/>
              </w:rPr>
              <w:t>四</w:t>
            </w:r>
            <w:r>
              <w:rPr>
                <w:rFonts w:ascii="Times New Roman" w:hAnsi="Times New Roman" w:eastAsia="宋体" w:cs="Times New Roman"/>
                <w:color w:val="auto"/>
                <w:sz w:val="21"/>
                <w:szCs w:val="21"/>
              </w:rPr>
              <w:t>川达州东部经济开发区政务服务管理局《四川省固定资产投资项目备案表》（川投资备【</w:t>
            </w:r>
            <w:r>
              <w:rPr>
                <w:rFonts w:hint="eastAsia" w:ascii="Times New Roman" w:hAnsi="Times New Roman" w:eastAsia="宋体" w:cs="Times New Roman"/>
                <w:color w:val="auto"/>
                <w:sz w:val="21"/>
                <w:szCs w:val="21"/>
              </w:rPr>
              <w:t>2412-511715-04-01-984769】FGQB-0296</w:t>
            </w:r>
            <w:r>
              <w:rPr>
                <w:rFonts w:ascii="Times New Roman" w:hAnsi="Times New Roman" w:eastAsia="宋体" w:cs="Times New Roman"/>
                <w:color w:val="auto"/>
                <w:sz w:val="21"/>
                <w:szCs w:val="21"/>
              </w:rPr>
              <w:t>号）</w:t>
            </w:r>
            <w:r>
              <w:rPr>
                <w:rFonts w:hint="eastAsia" w:ascii="Times New Roman" w:hAnsi="Times New Roman" w:eastAsia="宋体" w:cs="Times New Roman"/>
                <w:color w:val="auto"/>
                <w:sz w:val="21"/>
                <w:szCs w:val="21"/>
              </w:rPr>
              <w:t>。</w:t>
            </w:r>
          </w:p>
        </w:tc>
      </w:tr>
    </w:tbl>
    <w:p w14:paraId="486B3A7F">
      <w:pPr>
        <w:rPr>
          <w:rFonts w:hint="eastAsia"/>
        </w:rPr>
      </w:pPr>
    </w:p>
    <w:sectPr>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93"/>
    <w:rsid w:val="00076A93"/>
    <w:rsid w:val="00160BC4"/>
    <w:rsid w:val="001D2847"/>
    <w:rsid w:val="001D3F82"/>
    <w:rsid w:val="00211814"/>
    <w:rsid w:val="002C6B17"/>
    <w:rsid w:val="00302859"/>
    <w:rsid w:val="00314CB0"/>
    <w:rsid w:val="004A24ED"/>
    <w:rsid w:val="005E1EFE"/>
    <w:rsid w:val="00752A8F"/>
    <w:rsid w:val="007C585A"/>
    <w:rsid w:val="00863E5F"/>
    <w:rsid w:val="008A295B"/>
    <w:rsid w:val="009240A3"/>
    <w:rsid w:val="00A56DE5"/>
    <w:rsid w:val="00B00E18"/>
    <w:rsid w:val="00B14720"/>
    <w:rsid w:val="00BF37DD"/>
    <w:rsid w:val="00C16AB6"/>
    <w:rsid w:val="00C64A08"/>
    <w:rsid w:val="00D8544C"/>
    <w:rsid w:val="00D9271D"/>
    <w:rsid w:val="00EA0848"/>
    <w:rsid w:val="00EE52D1"/>
    <w:rsid w:val="08CB419C"/>
    <w:rsid w:val="0ACC3718"/>
    <w:rsid w:val="0CCF066E"/>
    <w:rsid w:val="142E658A"/>
    <w:rsid w:val="15D9083D"/>
    <w:rsid w:val="1B9443B8"/>
    <w:rsid w:val="23A67EEB"/>
    <w:rsid w:val="2D986AF6"/>
    <w:rsid w:val="39211051"/>
    <w:rsid w:val="4B621F2C"/>
    <w:rsid w:val="506E3D67"/>
    <w:rsid w:val="5F70143F"/>
    <w:rsid w:val="65AB66C0"/>
    <w:rsid w:val="67B101D9"/>
    <w:rsid w:val="6C0E69B9"/>
    <w:rsid w:val="781C528E"/>
    <w:rsid w:val="7D9B279E"/>
    <w:rsid w:val="7F3F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等线" w:hAnsi="等线" w:eastAsia="等线" w:cs="宋体"/>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等线 Light" w:hAnsi="等线 Light" w:eastAsia="等线 Light"/>
      <w:color w:val="0F4761"/>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等线 Light" w:hAnsi="等线 Light" w:eastAsia="等线 Light"/>
      <w:color w:val="0F4761"/>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等线 Light" w:hAnsi="等线 Light" w:eastAsia="等线 Light"/>
      <w:color w:val="0F4761"/>
      <w:sz w:val="32"/>
      <w:szCs w:val="32"/>
    </w:rPr>
  </w:style>
  <w:style w:type="paragraph" w:styleId="5">
    <w:name w:val="heading 4"/>
    <w:basedOn w:val="1"/>
    <w:next w:val="1"/>
    <w:link w:val="22"/>
    <w:semiHidden/>
    <w:unhideWhenUsed/>
    <w:qFormat/>
    <w:uiPriority w:val="9"/>
    <w:pPr>
      <w:keepNext/>
      <w:keepLines/>
      <w:spacing w:before="80" w:after="40"/>
      <w:outlineLvl w:val="3"/>
    </w:pPr>
    <w:rPr>
      <w:color w:val="0F4761"/>
      <w:sz w:val="28"/>
      <w:szCs w:val="28"/>
    </w:rPr>
  </w:style>
  <w:style w:type="paragraph" w:styleId="6">
    <w:name w:val="heading 5"/>
    <w:basedOn w:val="1"/>
    <w:next w:val="1"/>
    <w:link w:val="23"/>
    <w:semiHidden/>
    <w:unhideWhenUsed/>
    <w:qFormat/>
    <w:uiPriority w:val="9"/>
    <w:pPr>
      <w:keepNext/>
      <w:keepLines/>
      <w:spacing w:before="80" w:after="40"/>
      <w:outlineLvl w:val="4"/>
    </w:pPr>
    <w:rPr>
      <w:color w:val="0F4761"/>
      <w:sz w:val="24"/>
    </w:rPr>
  </w:style>
  <w:style w:type="paragraph" w:styleId="7">
    <w:name w:val="heading 6"/>
    <w:basedOn w:val="1"/>
    <w:next w:val="1"/>
    <w:link w:val="24"/>
    <w:semiHidden/>
    <w:unhideWhenUsed/>
    <w:qFormat/>
    <w:uiPriority w:val="9"/>
    <w:pPr>
      <w:keepNext/>
      <w:keepLines/>
      <w:spacing w:before="40" w:after="0"/>
      <w:outlineLvl w:val="5"/>
    </w:pPr>
    <w:rPr>
      <w:b/>
      <w:bCs/>
      <w:color w:val="0F4761"/>
    </w:rPr>
  </w:style>
  <w:style w:type="paragraph" w:styleId="8">
    <w:name w:val="heading 7"/>
    <w:basedOn w:val="1"/>
    <w:next w:val="1"/>
    <w:link w:val="25"/>
    <w:qFormat/>
    <w:uiPriority w:val="9"/>
    <w:pPr>
      <w:keepNext/>
      <w:keepLines/>
      <w:spacing w:before="40" w:after="0"/>
      <w:outlineLvl w:val="6"/>
    </w:pPr>
    <w:rPr>
      <w:b/>
      <w:bCs/>
      <w:color w:val="595959"/>
    </w:rPr>
  </w:style>
  <w:style w:type="paragraph" w:styleId="9">
    <w:name w:val="heading 8"/>
    <w:basedOn w:val="1"/>
    <w:next w:val="1"/>
    <w:link w:val="26"/>
    <w:qFormat/>
    <w:uiPriority w:val="9"/>
    <w:pPr>
      <w:keepNext/>
      <w:keepLines/>
      <w:spacing w:after="0"/>
      <w:outlineLvl w:val="7"/>
    </w:pPr>
    <w:rPr>
      <w:color w:val="595959"/>
    </w:rPr>
  </w:style>
  <w:style w:type="paragraph" w:styleId="10">
    <w:name w:val="heading 9"/>
    <w:basedOn w:val="1"/>
    <w:next w:val="1"/>
    <w:link w:val="27"/>
    <w:qFormat/>
    <w:uiPriority w:val="9"/>
    <w:pPr>
      <w:keepNext/>
      <w:keepLines/>
      <w:spacing w:after="0"/>
      <w:outlineLvl w:val="8"/>
    </w:pPr>
    <w:rPr>
      <w:rFonts w:eastAsia="等线 Light"/>
      <w:color w:val="595959"/>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lock Text"/>
    <w:basedOn w:val="1"/>
    <w:qFormat/>
    <w:uiPriority w:val="0"/>
    <w:pPr>
      <w:spacing w:line="360" w:lineRule="exact"/>
      <w:ind w:left="-57" w:right="-57"/>
    </w:pPr>
    <w:rPr>
      <w:sz w:val="18"/>
      <w:szCs w:val="20"/>
    </w:rPr>
  </w:style>
  <w:style w:type="paragraph" w:styleId="12">
    <w:name w:val="footer"/>
    <w:basedOn w:val="1"/>
    <w:link w:val="39"/>
    <w:qFormat/>
    <w:uiPriority w:val="99"/>
    <w:pPr>
      <w:tabs>
        <w:tab w:val="center" w:pos="4153"/>
        <w:tab w:val="right" w:pos="8306"/>
      </w:tabs>
      <w:snapToGrid w:val="0"/>
      <w:spacing w:line="240" w:lineRule="auto"/>
    </w:pPr>
    <w:rPr>
      <w:sz w:val="18"/>
      <w:szCs w:val="18"/>
    </w:rPr>
  </w:style>
  <w:style w:type="paragraph" w:styleId="13">
    <w:name w:val="header"/>
    <w:basedOn w:val="1"/>
    <w:link w:val="38"/>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jc w:val="center"/>
    </w:pPr>
    <w:rPr>
      <w:rFonts w:ascii="等线 Light" w:hAnsi="等线 Light" w:eastAsia="等线 Light"/>
      <w:color w:val="595959"/>
      <w:spacing w:val="15"/>
      <w:sz w:val="28"/>
      <w:szCs w:val="28"/>
    </w:rPr>
  </w:style>
  <w:style w:type="paragraph" w:styleId="15">
    <w:name w:val="Title"/>
    <w:basedOn w:val="1"/>
    <w:next w:val="1"/>
    <w:link w:val="28"/>
    <w:qFormat/>
    <w:uiPriority w:val="10"/>
    <w:pPr>
      <w:spacing w:after="80" w:line="240" w:lineRule="auto"/>
      <w:contextualSpacing/>
      <w:jc w:val="center"/>
    </w:pPr>
    <w:rPr>
      <w:rFonts w:ascii="等线 Light" w:hAnsi="等线 Light" w:eastAsia="等线 Light"/>
      <w:spacing w:val="-10"/>
      <w:kern w:val="28"/>
      <w:sz w:val="56"/>
      <w:szCs w:val="56"/>
    </w:rPr>
  </w:style>
  <w:style w:type="table" w:styleId="17">
    <w:name w:val="Table Grid"/>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等线 Light" w:hAnsi="等线 Light" w:eastAsia="等线 Light" w:cs="宋体"/>
      <w:color w:val="0F4761"/>
      <w:sz w:val="48"/>
      <w:szCs w:val="48"/>
    </w:rPr>
  </w:style>
  <w:style w:type="character" w:customStyle="1" w:styleId="20">
    <w:name w:val="标题 2 字符"/>
    <w:basedOn w:val="18"/>
    <w:link w:val="3"/>
    <w:qFormat/>
    <w:uiPriority w:val="9"/>
    <w:rPr>
      <w:rFonts w:ascii="等线 Light" w:hAnsi="等线 Light" w:eastAsia="等线 Light" w:cs="宋体"/>
      <w:color w:val="0F4761"/>
      <w:sz w:val="40"/>
      <w:szCs w:val="40"/>
    </w:rPr>
  </w:style>
  <w:style w:type="character" w:customStyle="1" w:styleId="21">
    <w:name w:val="标题 3 字符"/>
    <w:basedOn w:val="18"/>
    <w:link w:val="4"/>
    <w:qFormat/>
    <w:uiPriority w:val="9"/>
    <w:rPr>
      <w:rFonts w:ascii="等线 Light" w:hAnsi="等线 Light" w:eastAsia="等线 Light" w:cs="宋体"/>
      <w:color w:val="0F4761"/>
      <w:sz w:val="32"/>
      <w:szCs w:val="32"/>
    </w:rPr>
  </w:style>
  <w:style w:type="character" w:customStyle="1" w:styleId="22">
    <w:name w:val="标题 4 字符"/>
    <w:basedOn w:val="18"/>
    <w:link w:val="5"/>
    <w:qFormat/>
    <w:uiPriority w:val="9"/>
    <w:rPr>
      <w:rFonts w:cs="宋体"/>
      <w:color w:val="0F4761"/>
      <w:sz w:val="28"/>
      <w:szCs w:val="28"/>
    </w:rPr>
  </w:style>
  <w:style w:type="character" w:customStyle="1" w:styleId="23">
    <w:name w:val="标题 5 字符"/>
    <w:basedOn w:val="18"/>
    <w:link w:val="6"/>
    <w:qFormat/>
    <w:uiPriority w:val="9"/>
    <w:rPr>
      <w:rFonts w:cs="宋体"/>
      <w:color w:val="0F4761"/>
      <w:sz w:val="24"/>
    </w:rPr>
  </w:style>
  <w:style w:type="character" w:customStyle="1" w:styleId="24">
    <w:name w:val="标题 6 字符"/>
    <w:basedOn w:val="18"/>
    <w:link w:val="7"/>
    <w:qFormat/>
    <w:uiPriority w:val="9"/>
    <w:rPr>
      <w:rFonts w:cs="宋体"/>
      <w:b/>
      <w:bCs/>
      <w:color w:val="0F4761"/>
    </w:rPr>
  </w:style>
  <w:style w:type="character" w:customStyle="1" w:styleId="25">
    <w:name w:val="标题 7 字符"/>
    <w:basedOn w:val="18"/>
    <w:link w:val="8"/>
    <w:qFormat/>
    <w:uiPriority w:val="9"/>
    <w:rPr>
      <w:rFonts w:cs="宋体"/>
      <w:b/>
      <w:bCs/>
      <w:color w:val="595959"/>
    </w:rPr>
  </w:style>
  <w:style w:type="character" w:customStyle="1" w:styleId="26">
    <w:name w:val="标题 8 字符"/>
    <w:basedOn w:val="18"/>
    <w:link w:val="9"/>
    <w:qFormat/>
    <w:uiPriority w:val="9"/>
    <w:rPr>
      <w:rFonts w:cs="宋体"/>
      <w:color w:val="595959"/>
    </w:rPr>
  </w:style>
  <w:style w:type="character" w:customStyle="1" w:styleId="27">
    <w:name w:val="标题 9 字符"/>
    <w:basedOn w:val="18"/>
    <w:link w:val="10"/>
    <w:qFormat/>
    <w:uiPriority w:val="9"/>
    <w:rPr>
      <w:rFonts w:eastAsia="等线 Light" w:cs="宋体"/>
      <w:color w:val="595959"/>
    </w:rPr>
  </w:style>
  <w:style w:type="character" w:customStyle="1" w:styleId="28">
    <w:name w:val="标题 字符"/>
    <w:basedOn w:val="18"/>
    <w:link w:val="15"/>
    <w:qFormat/>
    <w:uiPriority w:val="10"/>
    <w:rPr>
      <w:rFonts w:ascii="等线 Light" w:hAnsi="等线 Light" w:eastAsia="等线 Light" w:cs="宋体"/>
      <w:spacing w:val="-10"/>
      <w:kern w:val="28"/>
      <w:sz w:val="56"/>
      <w:szCs w:val="56"/>
    </w:rPr>
  </w:style>
  <w:style w:type="character" w:customStyle="1" w:styleId="29">
    <w:name w:val="副标题 字符"/>
    <w:basedOn w:val="18"/>
    <w:link w:val="14"/>
    <w:qFormat/>
    <w:uiPriority w:val="11"/>
    <w:rPr>
      <w:rFonts w:ascii="等线 Light" w:hAnsi="等线 Light" w:eastAsia="等线 Light" w:cs="宋体"/>
      <w:color w:val="595959"/>
      <w:spacing w:val="15"/>
      <w:sz w:val="28"/>
      <w:szCs w:val="28"/>
    </w:rPr>
  </w:style>
  <w:style w:type="paragraph" w:styleId="30">
    <w:name w:val="Quote"/>
    <w:basedOn w:val="1"/>
    <w:next w:val="1"/>
    <w:link w:val="31"/>
    <w:qFormat/>
    <w:uiPriority w:val="29"/>
    <w:pPr>
      <w:spacing w:before="160"/>
      <w:jc w:val="center"/>
    </w:pPr>
    <w:rPr>
      <w:i/>
      <w:iCs/>
      <w:color w:val="404040"/>
    </w:rPr>
  </w:style>
  <w:style w:type="character" w:customStyle="1" w:styleId="31">
    <w:name w:val="引用 字符"/>
    <w:basedOn w:val="18"/>
    <w:link w:val="30"/>
    <w:qFormat/>
    <w:uiPriority w:val="29"/>
    <w:rPr>
      <w:i/>
      <w:iCs/>
      <w:color w:val="404040"/>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0F4761"/>
    </w:rPr>
  </w:style>
  <w:style w:type="paragraph" w:styleId="34">
    <w:name w:val="Intense Quote"/>
    <w:basedOn w:val="1"/>
    <w:next w:val="1"/>
    <w:link w:val="35"/>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5">
    <w:name w:val="明显引用 字符"/>
    <w:basedOn w:val="18"/>
    <w:link w:val="34"/>
    <w:qFormat/>
    <w:uiPriority w:val="30"/>
    <w:rPr>
      <w:i/>
      <w:iCs/>
      <w:color w:val="0F4761"/>
    </w:rPr>
  </w:style>
  <w:style w:type="character" w:customStyle="1" w:styleId="36">
    <w:name w:val="Intense Reference"/>
    <w:basedOn w:val="18"/>
    <w:qFormat/>
    <w:uiPriority w:val="32"/>
    <w:rPr>
      <w:b/>
      <w:bCs/>
      <w:smallCaps/>
      <w:color w:val="0F4761"/>
      <w:spacing w:val="5"/>
    </w:rPr>
  </w:style>
  <w:style w:type="paragraph" w:customStyle="1" w:styleId="37">
    <w:name w:val="1正文"/>
    <w:basedOn w:val="1"/>
    <w:qFormat/>
    <w:uiPriority w:val="0"/>
    <w:pPr>
      <w:widowControl/>
      <w:adjustRightInd w:val="0"/>
      <w:snapToGrid w:val="0"/>
      <w:spacing w:after="0" w:line="360" w:lineRule="auto"/>
      <w:ind w:firstLine="200" w:firstLineChars="200"/>
    </w:pPr>
    <w:rPr>
      <w:rFonts w:ascii="Calibri" w:hAnsi="Calibri" w:eastAsia="宋体" w:cs="Times New Roman"/>
      <w:kern w:val="0"/>
      <w:sz w:val="24"/>
      <w14:ligatures w14:val="none"/>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1607</Words>
  <Characters>1683</Characters>
  <Lines>11</Lines>
  <Paragraphs>3</Paragraphs>
  <TotalTime>39</TotalTime>
  <ScaleCrop>false</ScaleCrop>
  <LinksUpToDate>false</LinksUpToDate>
  <CharactersWithSpaces>1683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2024-12-10T04:08:00Z</dcterms:created>
  <dc:creator>mengfei shen</dc:creator>
  <cp:lastModifiedBy></cp:lastModifiedBy>
  <cp:lastPrinted>2025-01-13T05:59:44Z</cp:lastPrinted>
  <dcterms:modified xsi:type="dcterms:W3CDTF">2025-01-13T06:37:46Z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080862a5ed0646618271d1efbfed6c2e</vt:lpwstr>
  </property>
  <property fmtid="{D5CDD505-2E9C-101B-9397-08002B2CF9AE}" pid="3" name="KSOTemplateDocerSaveRecord">
    <vt:lpwstr>eyJoZGlkIjoiNTk3YmQyMzM4NzI5NDc5YjgxZTc1ZDllYWFkMDdjMDgiLCJ1c2VySWQiOiI0Mzg1Mjk5ODEifQ==</vt:lpwstr>
  </property>
  <property fmtid="{D5CDD505-2E9C-101B-9397-08002B2CF9AE}" pid="4" name="KSOProductBuildVer">
    <vt:lpwstr>2052-12.1.0.19302</vt:lpwstr>
  </property>
</Properties>
</file>