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D0" w:rsidRDefault="00491F2C" w:rsidP="00252020">
      <w:pPr>
        <w:spacing w:line="360" w:lineRule="auto"/>
        <w:rPr>
          <w:rFonts w:ascii="Times New Roman" w:eastAsia="宋体" w:hAnsi="Times New Roman" w:cs="Times New Roman"/>
          <w:b/>
          <w:color w:val="333333"/>
          <w:kern w:val="0"/>
          <w:sz w:val="24"/>
          <w:lang w:bidi="ar"/>
        </w:rPr>
      </w:pPr>
      <w:bookmarkStart w:id="0" w:name="_GoBack"/>
      <w:r>
        <w:rPr>
          <w:rFonts w:ascii="Times New Roman" w:eastAsia="宋体" w:hAnsi="Times New Roman" w:cs="Times New Roman"/>
          <w:b/>
          <w:color w:val="333333"/>
          <w:kern w:val="0"/>
          <w:sz w:val="24"/>
          <w:lang w:bidi="ar"/>
        </w:rPr>
        <w:t>拟批准的建设项目环境影响报告</w:t>
      </w:r>
      <w:r>
        <w:rPr>
          <w:rFonts w:ascii="Times New Roman" w:eastAsia="宋体" w:hAnsi="Times New Roman" w:cs="Times New Roman" w:hint="eastAsia"/>
          <w:b/>
          <w:color w:val="333333"/>
          <w:kern w:val="0"/>
          <w:sz w:val="24"/>
          <w:lang w:bidi="ar"/>
        </w:rPr>
        <w:t>书</w:t>
      </w:r>
    </w:p>
    <w:tbl>
      <w:tblPr>
        <w:tblStyle w:val="a7"/>
        <w:tblW w:w="14163" w:type="dxa"/>
        <w:tblLayout w:type="fixed"/>
        <w:tblLook w:val="04A0" w:firstRow="1" w:lastRow="0" w:firstColumn="1" w:lastColumn="0" w:noHBand="0" w:noVBand="1"/>
      </w:tblPr>
      <w:tblGrid>
        <w:gridCol w:w="710"/>
        <w:gridCol w:w="1060"/>
        <w:gridCol w:w="1125"/>
        <w:gridCol w:w="1185"/>
        <w:gridCol w:w="1527"/>
        <w:gridCol w:w="1983"/>
        <w:gridCol w:w="6573"/>
      </w:tblGrid>
      <w:tr w:rsidR="00895CD0">
        <w:tc>
          <w:tcPr>
            <w:tcW w:w="710" w:type="dxa"/>
            <w:vAlign w:val="center"/>
          </w:tcPr>
          <w:bookmarkEnd w:id="0"/>
          <w:p w:rsidR="00895CD0" w:rsidRDefault="00491F2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序号</w:t>
            </w:r>
          </w:p>
        </w:tc>
        <w:tc>
          <w:tcPr>
            <w:tcW w:w="1060" w:type="dxa"/>
            <w:vAlign w:val="center"/>
          </w:tcPr>
          <w:p w:rsidR="00895CD0" w:rsidRDefault="00491F2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项目名称</w:t>
            </w:r>
          </w:p>
        </w:tc>
        <w:tc>
          <w:tcPr>
            <w:tcW w:w="1125" w:type="dxa"/>
            <w:vAlign w:val="center"/>
          </w:tcPr>
          <w:p w:rsidR="00895CD0" w:rsidRDefault="00491F2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建设地点</w:t>
            </w:r>
          </w:p>
        </w:tc>
        <w:tc>
          <w:tcPr>
            <w:tcW w:w="1185" w:type="dxa"/>
            <w:vAlign w:val="center"/>
          </w:tcPr>
          <w:p w:rsidR="00895CD0" w:rsidRDefault="00491F2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建设单位</w:t>
            </w:r>
          </w:p>
        </w:tc>
        <w:tc>
          <w:tcPr>
            <w:tcW w:w="1527" w:type="dxa"/>
            <w:vAlign w:val="center"/>
          </w:tcPr>
          <w:p w:rsidR="00895CD0" w:rsidRDefault="00491F2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环境影响评价机构</w:t>
            </w:r>
          </w:p>
        </w:tc>
        <w:tc>
          <w:tcPr>
            <w:tcW w:w="1983" w:type="dxa"/>
            <w:vAlign w:val="center"/>
          </w:tcPr>
          <w:p w:rsidR="00895CD0" w:rsidRDefault="00491F2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项目概况</w:t>
            </w:r>
          </w:p>
        </w:tc>
        <w:tc>
          <w:tcPr>
            <w:tcW w:w="6573" w:type="dxa"/>
            <w:vAlign w:val="center"/>
          </w:tcPr>
          <w:p w:rsidR="00895CD0" w:rsidRDefault="00491F2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主要环境影响及预防或者减轻不良环境影响的对策和措施</w:t>
            </w:r>
          </w:p>
        </w:tc>
      </w:tr>
      <w:tr w:rsidR="00895CD0">
        <w:trPr>
          <w:trHeight w:val="2725"/>
        </w:trPr>
        <w:tc>
          <w:tcPr>
            <w:tcW w:w="710" w:type="dxa"/>
            <w:vAlign w:val="center"/>
          </w:tcPr>
          <w:p w:rsidR="00895CD0" w:rsidRDefault="00491F2C">
            <w:pPr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060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大竹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县科宇石料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建材厂年产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万吨碎石及砂石生产线扩能项目</w:t>
            </w:r>
          </w:p>
        </w:tc>
        <w:tc>
          <w:tcPr>
            <w:tcW w:w="1125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大竹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县庙坝镇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白槽村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组</w:t>
            </w:r>
          </w:p>
        </w:tc>
        <w:tc>
          <w:tcPr>
            <w:tcW w:w="1185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大竹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县科宇石料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建材厂</w:t>
            </w:r>
          </w:p>
        </w:tc>
        <w:tc>
          <w:tcPr>
            <w:tcW w:w="1527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四川博观智汇节能环保科技有限公司</w:t>
            </w:r>
          </w:p>
        </w:tc>
        <w:tc>
          <w:tcPr>
            <w:tcW w:w="1983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本项目矿山为调整矿区范围、增划资源，改造利用原有加工车间，并新建密闭式加工车间一个</w:t>
            </w:r>
            <w:r>
              <w:rPr>
                <w:rFonts w:eastAsia="宋体" w:hint="eastAsia"/>
                <w:sz w:val="18"/>
                <w:szCs w:val="18"/>
              </w:rPr>
              <w:t>（占地面积</w:t>
            </w:r>
            <w:r>
              <w:rPr>
                <w:rFonts w:eastAsia="宋体" w:hint="eastAsia"/>
                <w:sz w:val="18"/>
                <w:szCs w:val="18"/>
              </w:rPr>
              <w:t>3500m</w:t>
            </w:r>
            <w:r>
              <w:rPr>
                <w:rFonts w:eastAsia="宋体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eastAsia="宋体" w:hint="eastAsia"/>
                <w:sz w:val="18"/>
                <w:szCs w:val="18"/>
              </w:rPr>
              <w:t>），</w:t>
            </w:r>
            <w:r>
              <w:rPr>
                <w:rFonts w:eastAsia="宋体"/>
                <w:sz w:val="18"/>
                <w:szCs w:val="18"/>
              </w:rPr>
              <w:t>最终</w:t>
            </w:r>
            <w:r>
              <w:rPr>
                <w:rFonts w:eastAsia="宋体" w:hint="eastAsia"/>
                <w:sz w:val="18"/>
                <w:szCs w:val="18"/>
              </w:rPr>
              <w:t>形成年产各类砂石料</w:t>
            </w:r>
            <w:r>
              <w:rPr>
                <w:rFonts w:eastAsia="宋体" w:hint="eastAsia"/>
                <w:sz w:val="18"/>
                <w:szCs w:val="18"/>
              </w:rPr>
              <w:t>30</w:t>
            </w:r>
            <w:r>
              <w:rPr>
                <w:rFonts w:eastAsia="宋体" w:hint="eastAsia"/>
                <w:sz w:val="18"/>
                <w:szCs w:val="18"/>
              </w:rPr>
              <w:t>万吨规模的项目。</w:t>
            </w:r>
          </w:p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 w:hint="eastAsia"/>
                <w:sz w:val="18"/>
                <w:szCs w:val="18"/>
              </w:rPr>
              <w:t>扩矿调整</w:t>
            </w:r>
            <w:proofErr w:type="gramEnd"/>
            <w:r>
              <w:rPr>
                <w:rFonts w:eastAsia="宋体" w:hint="eastAsia"/>
                <w:sz w:val="18"/>
                <w:szCs w:val="18"/>
              </w:rPr>
              <w:t>后矿区面积</w:t>
            </w:r>
            <w:r>
              <w:rPr>
                <w:rFonts w:eastAsia="宋体" w:hint="eastAsia"/>
                <w:sz w:val="18"/>
                <w:szCs w:val="18"/>
              </w:rPr>
              <w:t>0.0735km</w:t>
            </w:r>
            <w:r>
              <w:rPr>
                <w:rFonts w:eastAsia="宋体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eastAsia="宋体" w:hint="eastAsia"/>
                <w:sz w:val="18"/>
                <w:szCs w:val="18"/>
              </w:rPr>
              <w:t>，设计年开采建筑用灰岩矿</w:t>
            </w:r>
            <w:r>
              <w:rPr>
                <w:rFonts w:eastAsia="宋体" w:hint="eastAsia"/>
                <w:sz w:val="18"/>
                <w:szCs w:val="18"/>
              </w:rPr>
              <w:t>30</w:t>
            </w:r>
            <w:r>
              <w:rPr>
                <w:rFonts w:eastAsia="宋体" w:hint="eastAsia"/>
                <w:sz w:val="18"/>
                <w:szCs w:val="18"/>
              </w:rPr>
              <w:t>万吨，原矿全部运至加工车间生产加工。拆除原加工车间的设备后，新设骨料制砂生产线</w:t>
            </w:r>
            <w:r>
              <w:rPr>
                <w:rFonts w:eastAsia="宋体" w:hint="eastAsia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条，新建</w:t>
            </w:r>
            <w:r>
              <w:rPr>
                <w:rFonts w:eastAsia="宋体"/>
                <w:sz w:val="18"/>
                <w:szCs w:val="18"/>
              </w:rPr>
              <w:t>密闭式加工车间一个，设碎石及砂石生产线</w:t>
            </w:r>
            <w:r>
              <w:rPr>
                <w:rFonts w:eastAsia="宋体" w:hint="eastAsia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条，年产各类砂石料</w:t>
            </w:r>
            <w:r>
              <w:rPr>
                <w:rFonts w:eastAsia="宋体" w:hint="eastAsia"/>
                <w:sz w:val="18"/>
                <w:szCs w:val="18"/>
              </w:rPr>
              <w:t>30</w:t>
            </w:r>
            <w:r>
              <w:rPr>
                <w:rFonts w:eastAsia="宋体" w:hint="eastAsia"/>
                <w:sz w:val="18"/>
                <w:szCs w:val="18"/>
              </w:rPr>
              <w:t>万吨。</w:t>
            </w:r>
          </w:p>
        </w:tc>
        <w:tc>
          <w:tcPr>
            <w:tcW w:w="6573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  <w:t>一、施工期环境保护措施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）废气：对建筑物料采取覆盖、湿化措施；设置围挡与外界隔离，密闭施工；设置固定车辆冲洗设施。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）废水：设置临时沉砂池，施工废水收集处理后回用；建筑材料堆放时远离河道；工程完工后尽量硬化地面并进行绿化恢复措施。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）噪声：机械设备的噪声通过采取选用低噪声设备、合理布置设备位置、合理安排工期，施工现场设施围挡等措施降低影响。运输车辆应合理安排运输时间和路线，避免扰民。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）固废：剥离的表层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土临时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堆存后用作生态恢复覆土，弃土废矿及少量建筑垃圾在矿区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采坑或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低洼处回填。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）生态影响：主要是开挖破坏土壤结构、破坏植被，造成水土流失等。通过合理安排施工工期，优化施工方案，设临时沉砂池和挡土墙等防护措施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，减轻水土流失。施工结束后，及时进行绿化恢复，降低生态环境影响。</w:t>
            </w:r>
          </w:p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  <w:t>二、营运期环境保护措施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）废气：矿山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开采场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的粉（扬）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尘主要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采取喷雾洒水、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雾炮机除尘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等措施降低影响；表土临时堆场采取临时绿化防护、防尘网覆盖、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洒水抑尘等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方式降低扬尘污染。矿山运输道路硬化，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设车辆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冲洗平台、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洒水抑尘等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措施加以控制。加工车间采取全封闭，安装袋式除尘器收尘净化处理，各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产尘点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安装喷雾装置降尘，对周围环境影响较小。工业广场进出口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设车辆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冲洗平台，降低运输作业扬尘污染。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）废水：车辆冲洗废水设沉淀池沉淀处理后回用。机修废水设隔油池预处理后排入化粪池，与生活污水一同处理后，定期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清理做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农肥使用。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）噪声：设备运行噪声通过采取密闭车间阻隔、设备二次密闭、设备基础减振、加强维护保养等控制措施。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）固体废物：剥离的表层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土临时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堆存，用于矿区生态恢复覆土。弃土废矿送表土临时堆场与表土分开堆存，用于回填采坑。除尘器收集的除尘灰做产品外售。废矿物油和废油污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设危废间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收集暂存，委托有资质的单位回收处置。生活垃圾袋装收集后运至附近场镇，由环卫负责清运。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）生态影响：禁止扩大建设和采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矿区域，矿山开采作业面、各台阶设置排水沟；加强开采区排水设施的管理维护，避免堵塞造成采场积水；在矿区采场区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lastRenderedPageBreak/>
              <w:t>低洼处设初期雨水池，初期雨水经沉淀后回用做防尘洒水。闭矿期：加强边坡防护防止发生崩塌，对表土堆场进行生态恢复，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矿区采坑回填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，占地区域开展闭矿期生态绿化修复。</w:t>
            </w:r>
          </w:p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三、环境风险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本项目环境风险源主要为炸药库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及危废间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贮存的油类物质。针对炸药库、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危废暂存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间采取相应的防渗措施、风险防范措施等，能够将本项目环境风险降至可接受程度。</w:t>
            </w:r>
          </w:p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  <w:t>四、公众参与情况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项目进行了两次网络公示、两次报纸公示及现场张贴公示，均未收到反对意见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。统计结果表明，无反对意见。</w:t>
            </w:r>
          </w:p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  <w:t>五、其他部门意见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大竹县发展和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改革局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《四川省及时改造投资项目备案表》。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大竹县自然资源局《采矿许可证》。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达州市应急管理局《安全生产许可证》。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4.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四川省林业和草原局《使用林地审核同意书》。</w:t>
            </w:r>
          </w:p>
        </w:tc>
      </w:tr>
      <w:tr w:rsidR="00895CD0">
        <w:trPr>
          <w:trHeight w:val="2725"/>
        </w:trPr>
        <w:tc>
          <w:tcPr>
            <w:tcW w:w="710" w:type="dxa"/>
            <w:vAlign w:val="center"/>
          </w:tcPr>
          <w:p w:rsidR="00895CD0" w:rsidRDefault="00491F2C">
            <w:pPr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060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大竹县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金鸡乡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铁龙玉毅碎石厂年产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40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万吨灰岩矿开采及加工项目扩建工程</w:t>
            </w:r>
          </w:p>
        </w:tc>
        <w:tc>
          <w:tcPr>
            <w:tcW w:w="1125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大竹县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金鸡乡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铁龙村五社</w:t>
            </w:r>
          </w:p>
        </w:tc>
        <w:tc>
          <w:tcPr>
            <w:tcW w:w="1185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大竹县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金鸡乡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铁龙玉毅碎石厂</w:t>
            </w:r>
          </w:p>
        </w:tc>
        <w:tc>
          <w:tcPr>
            <w:tcW w:w="1527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四川博观智汇节能环保科技有限公司</w:t>
            </w:r>
          </w:p>
        </w:tc>
        <w:tc>
          <w:tcPr>
            <w:tcW w:w="1983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本项目矿山为调整矿区范围、增划资源，改造利用原有的密闭砂石加工车间，最终</w:t>
            </w:r>
            <w:r>
              <w:rPr>
                <w:rFonts w:eastAsia="宋体" w:hint="eastAsia"/>
                <w:sz w:val="18"/>
                <w:szCs w:val="18"/>
              </w:rPr>
              <w:t>形成年产各类砂石料</w:t>
            </w:r>
            <w:r>
              <w:rPr>
                <w:rFonts w:eastAsia="宋体" w:hint="eastAsia"/>
                <w:sz w:val="18"/>
                <w:szCs w:val="18"/>
              </w:rPr>
              <w:t>40</w:t>
            </w:r>
            <w:r>
              <w:rPr>
                <w:rFonts w:eastAsia="宋体" w:hint="eastAsia"/>
                <w:sz w:val="18"/>
                <w:szCs w:val="18"/>
              </w:rPr>
              <w:t>万吨规模的项目。</w:t>
            </w:r>
            <w:proofErr w:type="gramStart"/>
            <w:r>
              <w:rPr>
                <w:rFonts w:eastAsia="宋体" w:hint="eastAsia"/>
                <w:sz w:val="18"/>
                <w:szCs w:val="18"/>
              </w:rPr>
              <w:t>扩矿调整</w:t>
            </w:r>
            <w:proofErr w:type="gramEnd"/>
            <w:r>
              <w:rPr>
                <w:rFonts w:eastAsia="宋体" w:hint="eastAsia"/>
                <w:sz w:val="18"/>
                <w:szCs w:val="18"/>
              </w:rPr>
              <w:t>后矿区面积</w:t>
            </w:r>
            <w:r>
              <w:rPr>
                <w:rFonts w:eastAsia="宋体" w:hint="eastAsia"/>
                <w:sz w:val="18"/>
                <w:szCs w:val="18"/>
              </w:rPr>
              <w:t>0.1195km</w:t>
            </w:r>
            <w:r>
              <w:rPr>
                <w:rFonts w:eastAsia="宋体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eastAsia="宋体" w:hint="eastAsia"/>
                <w:sz w:val="18"/>
                <w:szCs w:val="18"/>
              </w:rPr>
              <w:t>，设计年开采建筑用灰岩矿</w:t>
            </w:r>
            <w:r>
              <w:rPr>
                <w:rFonts w:eastAsia="宋体" w:hint="eastAsia"/>
                <w:sz w:val="18"/>
                <w:szCs w:val="18"/>
              </w:rPr>
              <w:t>40</w:t>
            </w:r>
            <w:r>
              <w:rPr>
                <w:rFonts w:eastAsia="宋体" w:hint="eastAsia"/>
                <w:sz w:val="18"/>
                <w:szCs w:val="18"/>
              </w:rPr>
              <w:t>万吨，原矿全部运至加工车间生产加工。拆除原加工车间的设备后，新设碎石及砂石生产线</w:t>
            </w:r>
            <w:r>
              <w:rPr>
                <w:rFonts w:eastAsia="宋体" w:hint="eastAsia"/>
                <w:sz w:val="18"/>
                <w:szCs w:val="18"/>
              </w:rPr>
              <w:t>1</w:t>
            </w:r>
            <w:r>
              <w:rPr>
                <w:rFonts w:eastAsia="宋体" w:hint="eastAsia"/>
                <w:sz w:val="18"/>
                <w:szCs w:val="18"/>
              </w:rPr>
              <w:t>条，年产各类砂石料</w:t>
            </w:r>
            <w:r>
              <w:rPr>
                <w:rFonts w:eastAsia="宋体" w:hint="eastAsia"/>
                <w:sz w:val="18"/>
                <w:szCs w:val="18"/>
              </w:rPr>
              <w:t>40</w:t>
            </w:r>
            <w:r>
              <w:rPr>
                <w:rFonts w:eastAsia="宋体" w:hint="eastAsia"/>
                <w:sz w:val="18"/>
                <w:szCs w:val="18"/>
              </w:rPr>
              <w:t>万吨。</w:t>
            </w:r>
          </w:p>
        </w:tc>
        <w:tc>
          <w:tcPr>
            <w:tcW w:w="6573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  <w:t>一、施工期环境保护措施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）废气：对建筑物料采取覆盖、湿化措施；设置围挡与外界隔离，密闭施工；设置固定车辆冲洗设施。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）废水：设置临时沉砂池，施工废水收集处理后回用；建筑材料堆放时远离河道；工程完工后尽量硬化地面并进行绿化恢复措施。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）噪声：机械设备的噪声通过采取选用低噪声设备、合理布置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设备位置、合理安排工期，施工现场设施围挡等措施降低影响。运输车辆应合理安排运输时间和路线，避免扰民。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）固废：剥离的表层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土临时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堆存后用作生态恢复覆土，弃土废矿及少量建筑垃圾在矿区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采坑或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低洼处回填。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生态影响：主要是开挖破坏土壤结构、破坏植被，造成水土流失等。通过合理安排施工工期，优化施工方案，设临时沉砂池和挡土墙等防护措施，减轻水土流失。施工结束后，及时进行绿化恢复，降低生态环境影响。</w:t>
            </w:r>
          </w:p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  <w:t>二、营运期环境保护措施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）废气：矿山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开采场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的粉（扬）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尘主要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采取喷雾洒水、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雾炮机除尘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等措施降低影响；表土临时堆场采取临时绿化防护、防尘网覆盖、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洒水抑尘等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方式降低扬尘污染。矿山运输道路硬化，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设车辆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冲洗平台、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洒水抑尘等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措施加以控制。加工车间采取全封闭，安装袋式除尘器收尘净化处理，各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产尘点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安装喷雾装置降尘，对周围环境影响较小。工业广场进出口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设车辆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冲洗平台，降低运输作业扬尘污染。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lastRenderedPageBreak/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）废水：车辆冲洗废水设沉淀池沉淀处理后回用。机修废水设隔油池预处理后排入化粪池，与生活污水一同处理后，定期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清理做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农肥使用。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）噪声：设备运行噪声通过采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取密闭车间阻隔、设备二次密闭、设备基础减振、加强维护保养等控制措施。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）固体废物：剥离的表层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土临时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堆存，用于矿区生态恢复覆土。弃土废矿送表土临时堆场与表土分开堆存，用于回填采坑。除尘器收集的除尘灰做产品外售。废矿物油和废油污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设危废间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收集暂存，委托有资质的单位回收处置。生活垃圾袋装收集后运至附近场镇，由环卫负责清运。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）生态影响：禁止扩大建设和采矿区域，矿山开采作业面、各台阶设置排水沟；加强开采区排水设施的管理维护，避免堵塞造成采场积水；在矿区采场区低洼处设初期雨水池，初期雨水经沉淀后回用做防尘洒水。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闭矿期：加强边坡防护防止发生崩塌，对表土堆场进行生态恢复，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矿区采坑回填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，占地区域开展闭矿期生态绿化修复。</w:t>
            </w:r>
          </w:p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三、环境风险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本项目环境风险源主要为炸药库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及危废间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贮存的油类物质。针对炸药库、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危废暂存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间采取相应的防渗措施、风险防范措施等，能够将本项目环境风险降至可接受程度。</w:t>
            </w:r>
          </w:p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四、公众参与情况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项目进行了两次网络公示、两次报纸公示及现场张贴公示，均未收到反对意见。统计结果表明，无反对意见。</w:t>
            </w:r>
          </w:p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五、其他部门意见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大竹县发展和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改革局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《四川省及时改造投资项目备案表》。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大竹县自然资源局《采矿许可证》。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达州市应急管理局《安全生产许可证》。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4.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四川省林业和草原局《使用林地审核同意书》。</w:t>
            </w:r>
          </w:p>
        </w:tc>
      </w:tr>
      <w:tr w:rsidR="00895CD0">
        <w:trPr>
          <w:trHeight w:val="2725"/>
        </w:trPr>
        <w:tc>
          <w:tcPr>
            <w:tcW w:w="710" w:type="dxa"/>
            <w:vAlign w:val="center"/>
          </w:tcPr>
          <w:p w:rsidR="00895CD0" w:rsidRDefault="00491F2C">
            <w:pPr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060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大竹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县盛翔矿石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厂扩建项目</w:t>
            </w:r>
          </w:p>
        </w:tc>
        <w:tc>
          <w:tcPr>
            <w:tcW w:w="1125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大竹县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蒲包乡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兴隆三组</w:t>
            </w:r>
          </w:p>
        </w:tc>
        <w:tc>
          <w:tcPr>
            <w:tcW w:w="1185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大竹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县盛翔矿石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厂</w:t>
            </w:r>
          </w:p>
        </w:tc>
        <w:tc>
          <w:tcPr>
            <w:tcW w:w="1527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重庆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力环境影响评价有限公司</w:t>
            </w:r>
          </w:p>
        </w:tc>
        <w:tc>
          <w:tcPr>
            <w:tcW w:w="1983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建设单位为扩大生产能力，拟在原址基础上扩大矿区面积和增加生产线加工能力，实施大竹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县盛翔矿石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厂扩建项目。扩建项目矿区范围由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个拐点坐标圈闭，矿区面积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0.074km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，开采标高：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+775m~+635m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，开采矿种为建筑石料用灰岩，开采方式为露天开采，服务年限为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年，闭坑环境恢复治理与土地复垦期为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0.5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年，管护期为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年。扩建完成全厂年产碎石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45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万吨。</w:t>
            </w:r>
          </w:p>
        </w:tc>
        <w:tc>
          <w:tcPr>
            <w:tcW w:w="6573" w:type="dxa"/>
            <w:vAlign w:val="center"/>
          </w:tcPr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  <w:t>一、施工期环境保护措施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）废气：汽车尾气和机械废气使用量小，且在开阔的场所扩散后对环境影响较小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）废水：施工人员产生的生活污水依托现有化粪池处理后用作农肥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；施工废水经沉淀后循环使用，不外排。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）噪声：项目施工期短，且周围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500m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范围内敏感点分布较少，产生的噪声对周边影响较小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）固废：生活垃圾依托现有工程生活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垃圾系统处理；建筑垃圾除部分用于回收，剩余部分堆放达一定量时应及时清运到政府指定的建筑垃圾场处理。</w:t>
            </w:r>
          </w:p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  <w:t>二、营运期环境保护措施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）废气：破碎筛分粉尘经集气管收集后经风机抽送至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套脉冲袋式除尘器处理达标后经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根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15m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高排气筒排放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；矿区剥离粉尘、钻孔粉尘、爆破粉尘、转运粉尘由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雾炮机进行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洒水降尘；碎石加工车间破碎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筛分未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收集粉尘、出料粉尘由厂房顶部的雾化喷淋装置进行洒水降尘；碎石产品堆场扬尘由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雾炮机进行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洒水降尘；废土弃石堆场扬尘通过设置有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4m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高的挡土墙并在日常进行洒水保持表面湿润；道路扬尘通过设洗车平台、运输车使用篷布遮盖、厂区内运输道路硬化、定期洒水进行降尘。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）废水：车辆清洗废水经两级沉淀池处理后循环使用，不外排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；生活污水经化粪池处理后用于附近林地农肥，不外排。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）噪声：选取噪声低、振动小、能耗小的先进设备；在设备基础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上做隔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震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、减振措施；设备定期维护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保养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；合理安排作业时间；场外运输作业应安排在白天进行，车辆经过声环境保护目标时应限速、禁鸣；禁止采用裸露炸药包破碎大块岩石，爆破前应通知附近的单位，并选择影响最小的时段进行爆破，爆破时间确定后不要任意变更；保证有足够的充填长度，提高充填质量，必要时可采取分段装药反向起爆，以防止冲天炮；采用先进的雷电管爆破，控制装药量和安全防护距离，尽可能减轻对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爆破区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周围环境的影响；爆破作业尽量避开周围居民的休息时间。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）固体废物：生活垃圾袋装后送附近场镇垃圾收集点，由环卫部门统一处理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；矿山剥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离物后期进行回填和对矿区进行生态修复；沉砂池和两级沉淀池泥砂定期清理，运至弃土废石堆场，用于后期覆土回填；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除尘灰可定期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清理收集后作为产品外售，实现综合利用；废机油、废含油棉纱和手套，分类收集后分区存放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在危废暂存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间内，最后交有资质的单位收集处理。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）生态影响：禁止扩大建设和采矿区域，矿山开采作业面、各台阶设置排水沟；加强开采区排水设施的管理维护，避免堵塞造成采场积水；在矿区采场区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lastRenderedPageBreak/>
              <w:t>低洼处设初期雨水池，初期雨水经沉淀后回用做防尘洒水。闭矿期：加强边坡防护防止发生崩塌，对表土堆场进行生态恢复，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矿区采坑回填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，占地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区域开展闭矿期生态绿化修复。</w:t>
            </w:r>
          </w:p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三、环境风险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本项目环境风险源主要为炸药库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及危废间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贮存的油类物质。针对炸药库、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危废暂存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间采取相应的防渗措施、风险防范措施等，能够将本项目环境风险降至可接受程度。</w:t>
            </w:r>
          </w:p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四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  <w:t>、公众参与情况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项目进行二次网上公示、两次报纸公示及现场张贴公示，均未收到反对意见。统计结果表明，无反对意见。</w:t>
            </w:r>
          </w:p>
          <w:p w:rsidR="00895CD0" w:rsidRDefault="00491F2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  <w:shd w:val="clear" w:color="auto" w:fill="FFFFFF"/>
              </w:rPr>
              <w:t>五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  <w:t>、其他部门意见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FF"/>
                <w:kern w:val="0"/>
                <w:sz w:val="18"/>
                <w:szCs w:val="18"/>
              </w:rPr>
              <w:t xml:space="preserve"> 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大竹县环境保护局关于《盛翔矿石厂建设项目环境影响报告表》的批复（竹环函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[2016]159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号）；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大竹县经济和信息化局《四川省技术改造投资项目备案表》（备案号：川投资备【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2019-511724-10-03-418828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】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JXQB-0472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号）；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大竹县自然资源局《采矿许可证》（证号：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C5117242010077130070885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）；</w:t>
            </w:r>
          </w:p>
          <w:p w:rsidR="00895CD0" w:rsidRDefault="00491F2C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4.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达州市公安局《爆破作业单位许可证（非营业性）》（编号：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5117001300251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）。</w:t>
            </w:r>
          </w:p>
          <w:p w:rsidR="00895CD0" w:rsidRDefault="00895CD0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</w:p>
        </w:tc>
      </w:tr>
    </w:tbl>
    <w:p w:rsidR="00895CD0" w:rsidRDefault="00895CD0">
      <w:pPr>
        <w:ind w:firstLineChars="200" w:firstLine="560"/>
        <w:rPr>
          <w:rFonts w:ascii="Times New Roman" w:eastAsia="仿宋_GB2312" w:hAnsi="Times New Roman" w:cs="Times New Roman"/>
          <w:color w:val="333333"/>
          <w:sz w:val="28"/>
          <w:szCs w:val="28"/>
        </w:rPr>
      </w:pPr>
    </w:p>
    <w:sectPr w:rsidR="00895C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2C" w:rsidRDefault="00491F2C" w:rsidP="00252020">
      <w:r>
        <w:separator/>
      </w:r>
    </w:p>
  </w:endnote>
  <w:endnote w:type="continuationSeparator" w:id="0">
    <w:p w:rsidR="00491F2C" w:rsidRDefault="00491F2C" w:rsidP="0025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20" w:rsidRDefault="002520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20" w:rsidRDefault="0025202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20" w:rsidRDefault="002520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2C" w:rsidRDefault="00491F2C" w:rsidP="00252020">
      <w:r>
        <w:separator/>
      </w:r>
    </w:p>
  </w:footnote>
  <w:footnote w:type="continuationSeparator" w:id="0">
    <w:p w:rsidR="00491F2C" w:rsidRDefault="00491F2C" w:rsidP="00252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20" w:rsidRDefault="002520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20" w:rsidRDefault="00252020" w:rsidP="0025202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20" w:rsidRDefault="002520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AD1143"/>
    <w:multiLevelType w:val="singleLevel"/>
    <w:tmpl w:val="A0AD114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ED1C3E"/>
    <w:multiLevelType w:val="multilevel"/>
    <w:tmpl w:val="01ED1C3E"/>
    <w:lvl w:ilvl="0">
      <w:start w:val="1"/>
      <w:numFmt w:val="decimal"/>
      <w:isLgl/>
      <w:suff w:val="nothing"/>
      <w:lvlText w:val="%1  "/>
      <w:lvlJc w:val="left"/>
      <w:pPr>
        <w:ind w:left="1980" w:firstLine="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30"/>
        <w:szCs w:val="30"/>
        <w:u w:val="none"/>
        <w:vertAlign w:val="baseline"/>
      </w:rPr>
    </w:lvl>
    <w:lvl w:ilvl="1">
      <w:start w:val="1"/>
      <w:numFmt w:val="decimal"/>
      <w:isLgl/>
      <w:suff w:val="nothing"/>
      <w:lvlText w:val="%1.%2  "/>
      <w:lvlJc w:val="left"/>
      <w:pPr>
        <w:ind w:left="284" w:firstLine="0"/>
      </w:pPr>
      <w:rPr>
        <w:rFonts w:ascii="Times New Roman" w:eastAsia="宋体" w:hAnsi="Times New Roman" w:hint="eastAsia"/>
        <w:b w:val="0"/>
        <w:sz w:val="28"/>
      </w:rPr>
    </w:lvl>
    <w:lvl w:ilvl="2">
      <w:start w:val="1"/>
      <w:numFmt w:val="decimal"/>
      <w:isLgl/>
      <w:suff w:val="nothing"/>
      <w:lvlText w:val="%1.%2.%3  "/>
      <w:lvlJc w:val="left"/>
      <w:pPr>
        <w:ind w:left="2127" w:firstLine="0"/>
      </w:pPr>
      <w:rPr>
        <w:rFonts w:ascii="Times New Roman" w:hint="eastAsia"/>
        <w:sz w:val="24"/>
        <w:szCs w:val="24"/>
      </w:rPr>
    </w:lvl>
    <w:lvl w:ilvl="3">
      <w:start w:val="1"/>
      <w:numFmt w:val="decimal"/>
      <w:pStyle w:val="4"/>
      <w:isLgl/>
      <w:suff w:val="nothing"/>
      <w:lvlText w:val="%1.%2.%3.%4  "/>
      <w:lvlJc w:val="left"/>
      <w:pPr>
        <w:ind w:left="851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isLgl/>
      <w:suff w:val="nothing"/>
      <w:lvlText w:val="%1.%2.%3.%4.%5  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isLgl/>
      <w:suff w:val="nothing"/>
      <w:lvlText w:val="%1.%2.%3.%4.%5.%6  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isLgl/>
      <w:suff w:val="nothing"/>
      <w:lvlText w:val="%1.%2.%3.%4.%5.%6.%7 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isLgl/>
      <w:suff w:val="nothing"/>
      <w:lvlText w:val="%1.%2.%3.%4.%5.%6.%7.%8  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isLgl/>
      <w:suff w:val="nothing"/>
      <w:lvlText w:val="%1.%2.%3.%4.%5.%6.%7.%8.%9  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54735"/>
    <w:rsid w:val="00252020"/>
    <w:rsid w:val="003424B8"/>
    <w:rsid w:val="00491F2C"/>
    <w:rsid w:val="00895CD0"/>
    <w:rsid w:val="03F1298D"/>
    <w:rsid w:val="073D2D20"/>
    <w:rsid w:val="09E039C0"/>
    <w:rsid w:val="0CAB4A45"/>
    <w:rsid w:val="10DD551C"/>
    <w:rsid w:val="11BA5BCB"/>
    <w:rsid w:val="1BFD3073"/>
    <w:rsid w:val="2094401B"/>
    <w:rsid w:val="22CC2095"/>
    <w:rsid w:val="2D48305C"/>
    <w:rsid w:val="312E68BD"/>
    <w:rsid w:val="34AD0909"/>
    <w:rsid w:val="360509EA"/>
    <w:rsid w:val="373F66F5"/>
    <w:rsid w:val="3FCA3EA5"/>
    <w:rsid w:val="44327812"/>
    <w:rsid w:val="49E7109A"/>
    <w:rsid w:val="4B992D60"/>
    <w:rsid w:val="4BF40B6C"/>
    <w:rsid w:val="4C85080A"/>
    <w:rsid w:val="520E2A27"/>
    <w:rsid w:val="52EF30B7"/>
    <w:rsid w:val="56283398"/>
    <w:rsid w:val="5DE53C45"/>
    <w:rsid w:val="5E557FB5"/>
    <w:rsid w:val="64BC7ADE"/>
    <w:rsid w:val="66C623BB"/>
    <w:rsid w:val="68A462CE"/>
    <w:rsid w:val="69354735"/>
    <w:rsid w:val="6C8E1A15"/>
    <w:rsid w:val="6E5C5D8D"/>
    <w:rsid w:val="75912387"/>
    <w:rsid w:val="77135678"/>
    <w:rsid w:val="7A82541A"/>
    <w:rsid w:val="7B6A4C2B"/>
    <w:rsid w:val="7FCA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line="360" w:lineRule="auto"/>
      <w:ind w:left="0"/>
      <w:jc w:val="left"/>
      <w:outlineLvl w:val="3"/>
    </w:pPr>
    <w:rPr>
      <w:rFonts w:ascii="Arial" w:hAnsi="Arial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360" w:lineRule="auto"/>
    </w:pPr>
    <w:rPr>
      <w:sz w:val="24"/>
    </w:rPr>
  </w:style>
  <w:style w:type="paragraph" w:styleId="a3">
    <w:name w:val="Body Text"/>
    <w:basedOn w:val="a"/>
    <w:qFormat/>
    <w:pPr>
      <w:spacing w:after="120"/>
    </w:pPr>
    <w:rPr>
      <w:rFonts w:ascii="Calibri" w:eastAsia="宋体" w:hAnsi="Calibri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styleId="a9">
    <w:name w:val="Hyperlink"/>
    <w:basedOn w:val="a0"/>
    <w:qFormat/>
    <w:rPr>
      <w:rFonts w:ascii="宋体" w:eastAsia="宋体" w:hAnsi="宋体" w:cs="宋体" w:hint="eastAsia"/>
      <w:color w:val="333333"/>
      <w:sz w:val="18"/>
      <w:szCs w:val="18"/>
      <w:u w:val="none"/>
    </w:rPr>
  </w:style>
  <w:style w:type="paragraph" w:customStyle="1" w:styleId="aa">
    <w:name w:val="表格文字"/>
    <w:basedOn w:val="a3"/>
    <w:next w:val="a"/>
    <w:qFormat/>
    <w:pPr>
      <w:adjustRightInd w:val="0"/>
      <w:snapToGrid w:val="0"/>
      <w:spacing w:line="300" w:lineRule="auto"/>
      <w:jc w:val="center"/>
    </w:pPr>
    <w:rPr>
      <w:rFonts w:eastAsia="华文中宋"/>
    </w:rPr>
  </w:style>
  <w:style w:type="paragraph" w:customStyle="1" w:styleId="ab">
    <w:name w:val="++++++++正文"/>
    <w:basedOn w:val="a"/>
    <w:qFormat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kern w:val="0"/>
      <w:sz w:val="24"/>
    </w:rPr>
  </w:style>
  <w:style w:type="paragraph" w:customStyle="1" w:styleId="22">
    <w:name w:val="样式 样式 样式 样式 样式 样式 样式 样式 样式 样式 样式 首行缩进:  2 字符 + 首行缩进:  2 字符 + 首行缩..."/>
    <w:basedOn w:val="a"/>
    <w:qFormat/>
    <w:pPr>
      <w:spacing w:line="312" w:lineRule="auto"/>
      <w:ind w:firstLineChars="200" w:firstLine="480"/>
    </w:pPr>
    <w:rPr>
      <w:rFonts w:asci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line="360" w:lineRule="auto"/>
      <w:ind w:left="0"/>
      <w:jc w:val="left"/>
      <w:outlineLvl w:val="3"/>
    </w:pPr>
    <w:rPr>
      <w:rFonts w:ascii="Arial" w:hAnsi="Arial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360" w:lineRule="auto"/>
    </w:pPr>
    <w:rPr>
      <w:sz w:val="24"/>
    </w:rPr>
  </w:style>
  <w:style w:type="paragraph" w:styleId="a3">
    <w:name w:val="Body Text"/>
    <w:basedOn w:val="a"/>
    <w:qFormat/>
    <w:pPr>
      <w:spacing w:after="120"/>
    </w:pPr>
    <w:rPr>
      <w:rFonts w:ascii="Calibri" w:eastAsia="宋体" w:hAnsi="Calibri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styleId="a9">
    <w:name w:val="Hyperlink"/>
    <w:basedOn w:val="a0"/>
    <w:qFormat/>
    <w:rPr>
      <w:rFonts w:ascii="宋体" w:eastAsia="宋体" w:hAnsi="宋体" w:cs="宋体" w:hint="eastAsia"/>
      <w:color w:val="333333"/>
      <w:sz w:val="18"/>
      <w:szCs w:val="18"/>
      <w:u w:val="none"/>
    </w:rPr>
  </w:style>
  <w:style w:type="paragraph" w:customStyle="1" w:styleId="aa">
    <w:name w:val="表格文字"/>
    <w:basedOn w:val="a3"/>
    <w:next w:val="a"/>
    <w:qFormat/>
    <w:pPr>
      <w:adjustRightInd w:val="0"/>
      <w:snapToGrid w:val="0"/>
      <w:spacing w:line="300" w:lineRule="auto"/>
      <w:jc w:val="center"/>
    </w:pPr>
    <w:rPr>
      <w:rFonts w:eastAsia="华文中宋"/>
    </w:rPr>
  </w:style>
  <w:style w:type="paragraph" w:customStyle="1" w:styleId="ab">
    <w:name w:val="++++++++正文"/>
    <w:basedOn w:val="a"/>
    <w:qFormat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kern w:val="0"/>
      <w:sz w:val="24"/>
    </w:rPr>
  </w:style>
  <w:style w:type="paragraph" w:customStyle="1" w:styleId="22">
    <w:name w:val="样式 样式 样式 样式 样式 样式 样式 样式 样式 样式 样式 首行缩进:  2 字符 + 首行缩进:  2 字符 + 首行缩..."/>
    <w:basedOn w:val="a"/>
    <w:qFormat/>
    <w:pPr>
      <w:spacing w:line="312" w:lineRule="auto"/>
      <w:ind w:firstLineChars="200" w:firstLine="480"/>
    </w:pPr>
    <w:rPr>
      <w:rFonts w:asci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3877</Characters>
  <Application>Microsoft Office Word</Application>
  <DocSecurity>0</DocSecurity>
  <Lines>32</Lines>
  <Paragraphs>9</Paragraphs>
  <ScaleCrop>false</ScaleCrop>
  <Company>微软中国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在路上1413430408</dc:creator>
  <cp:lastModifiedBy>杜青</cp:lastModifiedBy>
  <cp:revision>2</cp:revision>
  <dcterms:created xsi:type="dcterms:W3CDTF">2020-12-23T06:32:00Z</dcterms:created>
  <dcterms:modified xsi:type="dcterms:W3CDTF">2020-12-23T06:32:00Z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