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3E2" w:rsidRDefault="000333E2">
      <w:pPr>
        <w:widowControl/>
        <w:jc w:val="center"/>
        <w:rPr>
          <w:rFonts w:ascii="Times New Roman" w:eastAsia="黑体" w:hAnsi="Times New Roman" w:cs="Times New Roman"/>
          <w:kern w:val="0"/>
          <w:sz w:val="32"/>
          <w:szCs w:val="32"/>
        </w:rPr>
      </w:pPr>
    </w:p>
    <w:p w:rsidR="000333E2" w:rsidRDefault="005E15F7">
      <w:pPr>
        <w:spacing w:line="360" w:lineRule="auto"/>
        <w:ind w:firstLineChars="200" w:firstLine="482"/>
        <w:rPr>
          <w:rFonts w:ascii="Times New Roman" w:hAnsi="Times New Roman" w:cs="Times New Roman"/>
        </w:rPr>
      </w:pPr>
      <w:bookmarkStart w:id="0" w:name="_GoBack"/>
      <w:r>
        <w:rPr>
          <w:rFonts w:ascii="Times New Roman" w:eastAsia="宋体" w:hAnsi="Times New Roman" w:cs="Times New Roman"/>
          <w:b/>
          <w:color w:val="333333"/>
          <w:kern w:val="0"/>
          <w:sz w:val="24"/>
          <w:lang w:bidi="ar"/>
        </w:rPr>
        <w:t>一、拟批准的建设项目环境影响报告</w:t>
      </w:r>
      <w:r>
        <w:rPr>
          <w:rFonts w:ascii="Times New Roman" w:eastAsia="宋体" w:hAnsi="Times New Roman" w:cs="Times New Roman" w:hint="eastAsia"/>
          <w:b/>
          <w:color w:val="333333"/>
          <w:kern w:val="0"/>
          <w:sz w:val="24"/>
          <w:lang w:bidi="ar"/>
        </w:rPr>
        <w:t>表</w:t>
      </w:r>
    </w:p>
    <w:tbl>
      <w:tblPr>
        <w:tblStyle w:val="a4"/>
        <w:tblW w:w="14163" w:type="dxa"/>
        <w:tblLayout w:type="fixed"/>
        <w:tblLook w:val="04A0" w:firstRow="1" w:lastRow="0" w:firstColumn="1" w:lastColumn="0" w:noHBand="0" w:noVBand="1"/>
      </w:tblPr>
      <w:tblGrid>
        <w:gridCol w:w="710"/>
        <w:gridCol w:w="1060"/>
        <w:gridCol w:w="1125"/>
        <w:gridCol w:w="1185"/>
        <w:gridCol w:w="1620"/>
        <w:gridCol w:w="1890"/>
        <w:gridCol w:w="6573"/>
      </w:tblGrid>
      <w:tr w:rsidR="000333E2">
        <w:tc>
          <w:tcPr>
            <w:tcW w:w="710" w:type="dxa"/>
            <w:vAlign w:val="center"/>
          </w:tcPr>
          <w:bookmarkEnd w:id="0"/>
          <w:p w:rsidR="000333E2" w:rsidRDefault="005E15F7">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序号</w:t>
            </w:r>
          </w:p>
        </w:tc>
        <w:tc>
          <w:tcPr>
            <w:tcW w:w="1060" w:type="dxa"/>
            <w:vAlign w:val="center"/>
          </w:tcPr>
          <w:p w:rsidR="000333E2" w:rsidRDefault="005E15F7">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项目名称</w:t>
            </w:r>
          </w:p>
        </w:tc>
        <w:tc>
          <w:tcPr>
            <w:tcW w:w="1125" w:type="dxa"/>
            <w:vAlign w:val="center"/>
          </w:tcPr>
          <w:p w:rsidR="000333E2" w:rsidRDefault="005E15F7">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建设地点</w:t>
            </w:r>
          </w:p>
        </w:tc>
        <w:tc>
          <w:tcPr>
            <w:tcW w:w="1185" w:type="dxa"/>
            <w:vAlign w:val="center"/>
          </w:tcPr>
          <w:p w:rsidR="000333E2" w:rsidRDefault="005E15F7">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建设单位</w:t>
            </w:r>
          </w:p>
        </w:tc>
        <w:tc>
          <w:tcPr>
            <w:tcW w:w="1620" w:type="dxa"/>
            <w:vAlign w:val="center"/>
          </w:tcPr>
          <w:p w:rsidR="000333E2" w:rsidRDefault="005E15F7">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环境影响评价机构</w:t>
            </w:r>
          </w:p>
        </w:tc>
        <w:tc>
          <w:tcPr>
            <w:tcW w:w="1890" w:type="dxa"/>
            <w:vAlign w:val="center"/>
          </w:tcPr>
          <w:p w:rsidR="000333E2" w:rsidRDefault="005E15F7">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项目概况</w:t>
            </w:r>
          </w:p>
        </w:tc>
        <w:tc>
          <w:tcPr>
            <w:tcW w:w="6573" w:type="dxa"/>
            <w:vAlign w:val="center"/>
          </w:tcPr>
          <w:p w:rsidR="000333E2" w:rsidRDefault="005E15F7">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主要环境影响及预防或者减轻不良环境影响的对</w:t>
            </w:r>
            <w:r>
              <w:rPr>
                <w:rFonts w:ascii="Times New Roman" w:eastAsia="宋体" w:hAnsi="Times New Roman" w:cs="Times New Roman"/>
                <w:b/>
                <w:bCs/>
                <w:color w:val="333333"/>
                <w:szCs w:val="21"/>
              </w:rPr>
              <w:t>策</w:t>
            </w:r>
            <w:r>
              <w:rPr>
                <w:rFonts w:ascii="Times New Roman" w:eastAsia="宋体" w:hAnsi="Times New Roman" w:cs="Times New Roman"/>
                <w:b/>
                <w:bCs/>
                <w:color w:val="333333"/>
                <w:szCs w:val="21"/>
              </w:rPr>
              <w:t>和措施</w:t>
            </w:r>
          </w:p>
        </w:tc>
      </w:tr>
      <w:tr w:rsidR="000333E2">
        <w:tc>
          <w:tcPr>
            <w:tcW w:w="710" w:type="dxa"/>
          </w:tcPr>
          <w:p w:rsidR="000333E2" w:rsidRDefault="005E15F7">
            <w:pPr>
              <w:widowControl/>
              <w:spacing w:line="360" w:lineRule="exact"/>
              <w:jc w:val="left"/>
              <w:rPr>
                <w:rFonts w:ascii="Times New Roman" w:eastAsia="宋体" w:hAnsi="Times New Roman" w:cs="Times New Roman"/>
                <w:b/>
                <w:bCs/>
                <w:color w:val="333333"/>
                <w:szCs w:val="21"/>
              </w:rPr>
            </w:pPr>
            <w:r>
              <w:rPr>
                <w:rFonts w:ascii="宋体" w:hAnsi="宋体" w:cs="宋体"/>
                <w:color w:val="000000"/>
                <w:kern w:val="0"/>
                <w:sz w:val="18"/>
                <w:szCs w:val="18"/>
              </w:rPr>
              <w:t>1</w:t>
            </w:r>
          </w:p>
        </w:tc>
        <w:tc>
          <w:tcPr>
            <w:tcW w:w="1060" w:type="dxa"/>
          </w:tcPr>
          <w:p w:rsidR="000333E2" w:rsidRDefault="005E15F7">
            <w:pPr>
              <w:widowControl/>
              <w:spacing w:line="360" w:lineRule="exact"/>
              <w:jc w:val="left"/>
              <w:rPr>
                <w:rFonts w:ascii="Times New Roman" w:eastAsia="宋体" w:hAnsi="Times New Roman" w:cs="Times New Roman"/>
                <w:b/>
                <w:bCs/>
                <w:color w:val="333333"/>
                <w:szCs w:val="21"/>
              </w:rPr>
            </w:pPr>
            <w:r>
              <w:rPr>
                <w:rFonts w:ascii="宋体" w:hAnsi="宋体" w:cs="宋体" w:hint="eastAsia"/>
                <w:color w:val="000000"/>
                <w:kern w:val="0"/>
                <w:sz w:val="18"/>
                <w:szCs w:val="18"/>
              </w:rPr>
              <w:t>年入选</w:t>
            </w:r>
            <w:r>
              <w:rPr>
                <w:rFonts w:ascii="宋体" w:hAnsi="宋体" w:cs="宋体" w:hint="eastAsia"/>
                <w:color w:val="000000"/>
                <w:kern w:val="0"/>
                <w:sz w:val="18"/>
                <w:szCs w:val="18"/>
              </w:rPr>
              <w:t>80</w:t>
            </w:r>
            <w:r>
              <w:rPr>
                <w:rFonts w:ascii="宋体" w:hAnsi="宋体" w:cs="宋体" w:hint="eastAsia"/>
                <w:color w:val="000000"/>
                <w:kern w:val="0"/>
                <w:sz w:val="18"/>
                <w:szCs w:val="18"/>
              </w:rPr>
              <w:t>万吨原煤洗选生产线扩建工程</w:t>
            </w:r>
          </w:p>
        </w:tc>
        <w:tc>
          <w:tcPr>
            <w:tcW w:w="1125" w:type="dxa"/>
          </w:tcPr>
          <w:p w:rsidR="000333E2" w:rsidRDefault="005E15F7">
            <w:pPr>
              <w:widowControl/>
              <w:spacing w:line="360" w:lineRule="exact"/>
              <w:jc w:val="left"/>
              <w:rPr>
                <w:rFonts w:ascii="Times New Roman" w:eastAsia="宋体" w:hAnsi="Times New Roman" w:cs="Times New Roman"/>
                <w:b/>
                <w:bCs/>
                <w:color w:val="333333"/>
                <w:szCs w:val="21"/>
              </w:rPr>
            </w:pPr>
            <w:proofErr w:type="gramStart"/>
            <w:r>
              <w:rPr>
                <w:rFonts w:ascii="宋体" w:hAnsi="宋体" w:cs="宋体" w:hint="eastAsia"/>
                <w:color w:val="000000"/>
                <w:kern w:val="0"/>
                <w:sz w:val="18"/>
                <w:szCs w:val="18"/>
              </w:rPr>
              <w:t>达州市</w:t>
            </w:r>
            <w:proofErr w:type="gramEnd"/>
            <w:r>
              <w:rPr>
                <w:rFonts w:ascii="宋体" w:hAnsi="宋体" w:cs="宋体" w:hint="eastAsia"/>
                <w:color w:val="000000"/>
                <w:kern w:val="0"/>
                <w:sz w:val="18"/>
                <w:szCs w:val="18"/>
              </w:rPr>
              <w:t>通川区东岳新型工业集聚区</w:t>
            </w:r>
            <w:r>
              <w:rPr>
                <w:rFonts w:ascii="宋体" w:hAnsi="宋体" w:cs="宋体" w:hint="eastAsia"/>
                <w:color w:val="000000"/>
                <w:kern w:val="0"/>
                <w:sz w:val="18"/>
                <w:szCs w:val="18"/>
              </w:rPr>
              <w:t>（</w:t>
            </w:r>
            <w:r>
              <w:rPr>
                <w:rFonts w:ascii="宋体" w:hAnsi="宋体" w:cs="宋体" w:hint="eastAsia"/>
                <w:color w:val="000000"/>
                <w:kern w:val="0"/>
                <w:sz w:val="18"/>
                <w:szCs w:val="18"/>
              </w:rPr>
              <w:t>东岳镇山桥村九组</w:t>
            </w:r>
            <w:r>
              <w:rPr>
                <w:rFonts w:ascii="宋体" w:hAnsi="宋体" w:cs="宋体" w:hint="eastAsia"/>
                <w:color w:val="000000"/>
                <w:kern w:val="0"/>
                <w:sz w:val="18"/>
                <w:szCs w:val="18"/>
              </w:rPr>
              <w:t>）</w:t>
            </w:r>
          </w:p>
        </w:tc>
        <w:tc>
          <w:tcPr>
            <w:tcW w:w="1185" w:type="dxa"/>
          </w:tcPr>
          <w:p w:rsidR="000333E2" w:rsidRDefault="005E15F7">
            <w:pPr>
              <w:widowControl/>
              <w:spacing w:line="360" w:lineRule="exact"/>
              <w:jc w:val="left"/>
              <w:rPr>
                <w:rFonts w:ascii="Times New Roman" w:eastAsia="宋体" w:hAnsi="Times New Roman" w:cs="Times New Roman"/>
                <w:b/>
                <w:bCs/>
                <w:color w:val="333333"/>
                <w:szCs w:val="21"/>
              </w:rPr>
            </w:pPr>
            <w:proofErr w:type="gramStart"/>
            <w:r>
              <w:rPr>
                <w:rFonts w:ascii="宋体" w:hAnsi="宋体" w:cs="宋体" w:hint="eastAsia"/>
                <w:color w:val="000000"/>
                <w:kern w:val="0"/>
                <w:sz w:val="18"/>
                <w:szCs w:val="18"/>
              </w:rPr>
              <w:t>达州市</w:t>
            </w:r>
            <w:proofErr w:type="gramEnd"/>
            <w:r>
              <w:rPr>
                <w:rFonts w:ascii="宋体" w:hAnsi="宋体" w:cs="宋体" w:hint="eastAsia"/>
                <w:color w:val="000000"/>
                <w:kern w:val="0"/>
                <w:sz w:val="18"/>
                <w:szCs w:val="18"/>
              </w:rPr>
              <w:t>平钏矿业有限公司</w:t>
            </w:r>
          </w:p>
        </w:tc>
        <w:tc>
          <w:tcPr>
            <w:tcW w:w="1620" w:type="dxa"/>
          </w:tcPr>
          <w:p w:rsidR="000333E2" w:rsidRDefault="005E15F7">
            <w:pPr>
              <w:widowControl/>
              <w:spacing w:line="360" w:lineRule="exact"/>
              <w:jc w:val="left"/>
              <w:rPr>
                <w:rFonts w:ascii="Times New Roman" w:eastAsia="宋体" w:hAnsi="Times New Roman" w:cs="Times New Roman"/>
                <w:b/>
                <w:bCs/>
                <w:color w:val="333333"/>
                <w:szCs w:val="21"/>
              </w:rPr>
            </w:pPr>
            <w:r>
              <w:rPr>
                <w:rFonts w:ascii="宋体" w:hAnsi="宋体" w:cs="宋体" w:hint="eastAsia"/>
                <w:color w:val="000000"/>
                <w:kern w:val="0"/>
                <w:sz w:val="18"/>
                <w:szCs w:val="18"/>
              </w:rPr>
              <w:t>四川</w:t>
            </w:r>
            <w:r>
              <w:rPr>
                <w:rFonts w:ascii="宋体" w:hAnsi="宋体" w:cs="宋体" w:hint="eastAsia"/>
                <w:color w:val="000000"/>
                <w:kern w:val="0"/>
                <w:sz w:val="18"/>
                <w:szCs w:val="18"/>
              </w:rPr>
              <w:t>清元</w:t>
            </w:r>
            <w:r>
              <w:rPr>
                <w:rFonts w:ascii="宋体" w:hAnsi="宋体" w:cs="宋体" w:hint="eastAsia"/>
                <w:color w:val="000000"/>
                <w:kern w:val="0"/>
                <w:sz w:val="18"/>
                <w:szCs w:val="18"/>
              </w:rPr>
              <w:t>环保</w:t>
            </w:r>
            <w:r>
              <w:rPr>
                <w:rFonts w:ascii="宋体" w:hAnsi="宋体" w:cs="宋体" w:hint="eastAsia"/>
                <w:color w:val="000000"/>
                <w:kern w:val="0"/>
                <w:sz w:val="18"/>
                <w:szCs w:val="18"/>
              </w:rPr>
              <w:t>科技</w:t>
            </w:r>
            <w:r>
              <w:rPr>
                <w:rFonts w:ascii="宋体" w:hAnsi="宋体" w:cs="宋体" w:hint="eastAsia"/>
                <w:color w:val="000000"/>
                <w:kern w:val="0"/>
                <w:sz w:val="18"/>
                <w:szCs w:val="18"/>
              </w:rPr>
              <w:t>有限公司</w:t>
            </w:r>
          </w:p>
        </w:tc>
        <w:tc>
          <w:tcPr>
            <w:tcW w:w="1890" w:type="dxa"/>
          </w:tcPr>
          <w:p w:rsidR="000333E2" w:rsidRDefault="005E15F7">
            <w:pPr>
              <w:widowControl/>
              <w:spacing w:line="360" w:lineRule="exact"/>
              <w:jc w:val="left"/>
              <w:rPr>
                <w:sz w:val="18"/>
                <w:szCs w:val="18"/>
              </w:rPr>
            </w:pPr>
            <w:r>
              <w:rPr>
                <w:rFonts w:hint="eastAsia"/>
                <w:sz w:val="18"/>
                <w:szCs w:val="18"/>
              </w:rPr>
              <w:t>项目为</w:t>
            </w:r>
            <w:r>
              <w:rPr>
                <w:rFonts w:hint="eastAsia"/>
                <w:sz w:val="18"/>
                <w:szCs w:val="18"/>
              </w:rPr>
              <w:t>改扩建</w:t>
            </w:r>
            <w:r>
              <w:rPr>
                <w:rFonts w:hint="eastAsia"/>
                <w:sz w:val="18"/>
                <w:szCs w:val="18"/>
              </w:rPr>
              <w:t>，</w:t>
            </w:r>
            <w:r>
              <w:rPr>
                <w:rFonts w:hint="eastAsia"/>
                <w:sz w:val="18"/>
                <w:szCs w:val="18"/>
              </w:rPr>
              <w:t>在现有项目厂区内实施，</w:t>
            </w:r>
            <w:proofErr w:type="gramStart"/>
            <w:r>
              <w:rPr>
                <w:rFonts w:hint="eastAsia"/>
                <w:sz w:val="18"/>
                <w:szCs w:val="18"/>
              </w:rPr>
              <w:t>不</w:t>
            </w:r>
            <w:proofErr w:type="gramEnd"/>
            <w:r>
              <w:rPr>
                <w:rFonts w:hint="eastAsia"/>
                <w:sz w:val="18"/>
                <w:szCs w:val="18"/>
              </w:rPr>
              <w:t>新增土地占用。</w:t>
            </w:r>
            <w:r>
              <w:rPr>
                <w:rFonts w:hint="eastAsia"/>
                <w:sz w:val="18"/>
                <w:szCs w:val="18"/>
              </w:rPr>
              <w:t>建设内容</w:t>
            </w:r>
            <w:r>
              <w:rPr>
                <w:rFonts w:hint="eastAsia"/>
                <w:sz w:val="18"/>
                <w:szCs w:val="18"/>
              </w:rPr>
              <w:t>主要</w:t>
            </w:r>
            <w:r>
              <w:rPr>
                <w:rFonts w:hint="eastAsia"/>
                <w:sz w:val="18"/>
                <w:szCs w:val="18"/>
              </w:rPr>
              <w:t>为：</w:t>
            </w:r>
            <w:r>
              <w:rPr>
                <w:rFonts w:hint="eastAsia"/>
                <w:sz w:val="18"/>
                <w:szCs w:val="18"/>
              </w:rPr>
              <w:t>新建</w:t>
            </w:r>
            <w:r>
              <w:rPr>
                <w:rFonts w:hint="eastAsia"/>
                <w:sz w:val="18"/>
                <w:szCs w:val="18"/>
              </w:rPr>
              <w:t>6</w:t>
            </w:r>
            <w:r>
              <w:rPr>
                <w:rFonts w:hint="eastAsia"/>
                <w:sz w:val="18"/>
                <w:szCs w:val="18"/>
              </w:rPr>
              <w:t>层主厂房</w:t>
            </w:r>
            <w:r>
              <w:rPr>
                <w:rFonts w:hint="eastAsia"/>
                <w:sz w:val="18"/>
                <w:szCs w:val="18"/>
              </w:rPr>
              <w:t>1</w:t>
            </w:r>
            <w:r>
              <w:rPr>
                <w:rFonts w:hint="eastAsia"/>
                <w:sz w:val="18"/>
                <w:szCs w:val="18"/>
              </w:rPr>
              <w:t>栋（建筑面积约</w:t>
            </w:r>
            <w:r>
              <w:rPr>
                <w:rFonts w:hint="eastAsia"/>
                <w:sz w:val="18"/>
                <w:szCs w:val="18"/>
              </w:rPr>
              <w:t>1300m2</w:t>
            </w:r>
            <w:r>
              <w:rPr>
                <w:rFonts w:hint="eastAsia"/>
                <w:sz w:val="18"/>
                <w:szCs w:val="18"/>
              </w:rPr>
              <w:t>）、淘汰现有工程跳</w:t>
            </w:r>
            <w:proofErr w:type="gramStart"/>
            <w:r>
              <w:rPr>
                <w:rFonts w:hint="eastAsia"/>
                <w:sz w:val="18"/>
                <w:szCs w:val="18"/>
              </w:rPr>
              <w:t>汰</w:t>
            </w:r>
            <w:proofErr w:type="gramEnd"/>
            <w:r>
              <w:rPr>
                <w:rFonts w:hint="eastAsia"/>
                <w:sz w:val="18"/>
                <w:szCs w:val="18"/>
              </w:rPr>
              <w:t>洗选设备</w:t>
            </w:r>
            <w:r>
              <w:rPr>
                <w:rFonts w:hint="eastAsia"/>
                <w:sz w:val="18"/>
                <w:szCs w:val="18"/>
              </w:rPr>
              <w:t>；</w:t>
            </w:r>
            <w:r>
              <w:rPr>
                <w:rFonts w:hint="eastAsia"/>
                <w:sz w:val="18"/>
                <w:szCs w:val="18"/>
              </w:rPr>
              <w:t>新增重</w:t>
            </w:r>
            <w:proofErr w:type="gramStart"/>
            <w:r>
              <w:rPr>
                <w:rFonts w:hint="eastAsia"/>
                <w:sz w:val="18"/>
                <w:szCs w:val="18"/>
              </w:rPr>
              <w:t>介</w:t>
            </w:r>
            <w:proofErr w:type="gramEnd"/>
            <w:r>
              <w:rPr>
                <w:rFonts w:hint="eastAsia"/>
                <w:sz w:val="18"/>
                <w:szCs w:val="18"/>
              </w:rPr>
              <w:t>洗选设备</w:t>
            </w:r>
            <w:r>
              <w:rPr>
                <w:rFonts w:hint="eastAsia"/>
                <w:sz w:val="18"/>
                <w:szCs w:val="18"/>
              </w:rPr>
              <w:t>，</w:t>
            </w:r>
            <w:r>
              <w:rPr>
                <w:rFonts w:hint="eastAsia"/>
                <w:sz w:val="18"/>
                <w:szCs w:val="18"/>
              </w:rPr>
              <w:t>新增原煤破碎机</w:t>
            </w:r>
            <w:r>
              <w:rPr>
                <w:rFonts w:hint="eastAsia"/>
                <w:sz w:val="18"/>
                <w:szCs w:val="18"/>
              </w:rPr>
              <w:t>1</w:t>
            </w:r>
            <w:r>
              <w:rPr>
                <w:rFonts w:hint="eastAsia"/>
                <w:sz w:val="18"/>
                <w:szCs w:val="18"/>
              </w:rPr>
              <w:t>台及锥形钢制浓缩池一个（</w:t>
            </w:r>
            <w:r>
              <w:rPr>
                <w:rFonts w:hint="eastAsia"/>
                <w:sz w:val="18"/>
                <w:szCs w:val="18"/>
              </w:rPr>
              <w:t>500m</w:t>
            </w:r>
            <w:r>
              <w:rPr>
                <w:rFonts w:hint="eastAsia"/>
                <w:sz w:val="18"/>
                <w:szCs w:val="18"/>
                <w:vertAlign w:val="superscript"/>
              </w:rPr>
              <w:t>3</w:t>
            </w:r>
            <w:r>
              <w:rPr>
                <w:rFonts w:hint="eastAsia"/>
                <w:sz w:val="18"/>
                <w:szCs w:val="18"/>
              </w:rPr>
              <w:t>）</w:t>
            </w:r>
            <w:r>
              <w:rPr>
                <w:rFonts w:hint="eastAsia"/>
                <w:sz w:val="18"/>
                <w:szCs w:val="18"/>
              </w:rPr>
              <w:t>，</w:t>
            </w:r>
            <w:r>
              <w:rPr>
                <w:rFonts w:hint="eastAsia"/>
                <w:sz w:val="18"/>
                <w:szCs w:val="18"/>
              </w:rPr>
              <w:t>其余均利用现有工程的设施设备。建成后形成年入选</w:t>
            </w:r>
            <w:r>
              <w:rPr>
                <w:rFonts w:hint="eastAsia"/>
                <w:sz w:val="18"/>
                <w:szCs w:val="18"/>
              </w:rPr>
              <w:t>80</w:t>
            </w:r>
            <w:r>
              <w:rPr>
                <w:rFonts w:hint="eastAsia"/>
                <w:sz w:val="18"/>
                <w:szCs w:val="18"/>
              </w:rPr>
              <w:t>万吨原煤的生产规模。</w:t>
            </w:r>
          </w:p>
          <w:p w:rsidR="000333E2" w:rsidRDefault="005E15F7">
            <w:pPr>
              <w:widowControl/>
              <w:spacing w:line="360" w:lineRule="exact"/>
              <w:jc w:val="left"/>
              <w:rPr>
                <w:rFonts w:ascii="Times New Roman" w:eastAsia="宋体" w:hAnsi="Times New Roman" w:cs="Times New Roman"/>
                <w:b/>
                <w:bCs/>
                <w:color w:val="333333"/>
                <w:szCs w:val="21"/>
              </w:rPr>
            </w:pPr>
            <w:r>
              <w:rPr>
                <w:rFonts w:hint="eastAsia"/>
                <w:sz w:val="18"/>
                <w:szCs w:val="18"/>
              </w:rPr>
              <w:t>项目</w:t>
            </w:r>
            <w:r>
              <w:rPr>
                <w:rFonts w:hint="eastAsia"/>
                <w:sz w:val="18"/>
                <w:szCs w:val="18"/>
              </w:rPr>
              <w:t>存在未批先建行为，</w:t>
            </w:r>
            <w:r>
              <w:rPr>
                <w:rFonts w:hint="eastAsia"/>
                <w:sz w:val="18"/>
                <w:szCs w:val="18"/>
              </w:rPr>
              <w:t>已于</w:t>
            </w:r>
            <w:r>
              <w:rPr>
                <w:rFonts w:hint="eastAsia"/>
                <w:sz w:val="18"/>
                <w:szCs w:val="18"/>
              </w:rPr>
              <w:t>201</w:t>
            </w:r>
            <w:r>
              <w:rPr>
                <w:rFonts w:hint="eastAsia"/>
                <w:sz w:val="18"/>
                <w:szCs w:val="18"/>
              </w:rPr>
              <w:t>9</w:t>
            </w:r>
            <w:r>
              <w:rPr>
                <w:rFonts w:hint="eastAsia"/>
                <w:sz w:val="18"/>
                <w:szCs w:val="18"/>
              </w:rPr>
              <w:t>年</w:t>
            </w:r>
            <w:r>
              <w:rPr>
                <w:rFonts w:hint="eastAsia"/>
                <w:sz w:val="18"/>
                <w:szCs w:val="18"/>
              </w:rPr>
              <w:t>12</w:t>
            </w:r>
            <w:r>
              <w:rPr>
                <w:rFonts w:hint="eastAsia"/>
                <w:sz w:val="18"/>
                <w:szCs w:val="18"/>
              </w:rPr>
              <w:t>月</w:t>
            </w:r>
            <w:r>
              <w:rPr>
                <w:rFonts w:hint="eastAsia"/>
                <w:sz w:val="18"/>
                <w:szCs w:val="18"/>
              </w:rPr>
              <w:t>接受处罚，</w:t>
            </w:r>
            <w:r>
              <w:rPr>
                <w:sz w:val="18"/>
                <w:szCs w:val="18"/>
              </w:rPr>
              <w:t>本次环</w:t>
            </w:r>
            <w:r>
              <w:rPr>
                <w:sz w:val="18"/>
                <w:szCs w:val="18"/>
              </w:rPr>
              <w:lastRenderedPageBreak/>
              <w:t>评为补办手续。</w:t>
            </w:r>
            <w:r>
              <w:rPr>
                <w:rFonts w:hint="eastAsia"/>
                <w:sz w:val="18"/>
                <w:szCs w:val="18"/>
              </w:rPr>
              <w:t xml:space="preserve"> </w:t>
            </w:r>
          </w:p>
        </w:tc>
        <w:tc>
          <w:tcPr>
            <w:tcW w:w="6573" w:type="dxa"/>
          </w:tcPr>
          <w:p w:rsidR="000333E2" w:rsidRDefault="005E15F7">
            <w:pPr>
              <w:widowControl/>
              <w:spacing w:line="320" w:lineRule="exact"/>
              <w:jc w:val="left"/>
              <w:rPr>
                <w:rFonts w:ascii="宋体" w:hAnsi="宋体" w:cs="宋体"/>
                <w:kern w:val="0"/>
                <w:sz w:val="18"/>
                <w:szCs w:val="18"/>
              </w:rPr>
            </w:pPr>
            <w:r>
              <w:rPr>
                <w:rFonts w:ascii="宋体" w:hAnsi="宋体" w:cs="宋体"/>
                <w:b/>
                <w:bCs/>
                <w:kern w:val="0"/>
                <w:sz w:val="18"/>
                <w:szCs w:val="18"/>
              </w:rPr>
              <w:lastRenderedPageBreak/>
              <w:t>一、营运期环境保护措施</w:t>
            </w:r>
          </w:p>
          <w:p w:rsidR="000333E2" w:rsidRDefault="005E15F7">
            <w:pPr>
              <w:widowControl/>
              <w:spacing w:line="320" w:lineRule="exact"/>
              <w:jc w:val="left"/>
              <w:rPr>
                <w:rFonts w:ascii="宋体" w:hAnsi="宋体" w:cs="宋体"/>
                <w:b/>
                <w:bCs/>
                <w:kern w:val="0"/>
                <w:sz w:val="18"/>
                <w:szCs w:val="18"/>
              </w:rPr>
            </w:pPr>
            <w:r>
              <w:rPr>
                <w:rFonts w:ascii="宋体" w:hAnsi="宋体" w:cs="宋体"/>
                <w:b/>
                <w:bCs/>
                <w:kern w:val="0"/>
                <w:sz w:val="18"/>
                <w:szCs w:val="18"/>
              </w:rPr>
              <w:t>1.</w:t>
            </w:r>
            <w:r>
              <w:rPr>
                <w:rFonts w:ascii="宋体" w:hAnsi="宋体" w:cs="宋体"/>
                <w:b/>
                <w:bCs/>
                <w:kern w:val="0"/>
                <w:sz w:val="18"/>
                <w:szCs w:val="18"/>
              </w:rPr>
              <w:t>废气污染防治措施</w:t>
            </w:r>
          </w:p>
          <w:p w:rsidR="000333E2" w:rsidRDefault="005E15F7">
            <w:pPr>
              <w:widowControl/>
              <w:spacing w:line="320" w:lineRule="exact"/>
              <w:jc w:val="left"/>
              <w:rPr>
                <w:rFonts w:ascii="宋体" w:hAnsi="宋体" w:cs="宋体"/>
                <w:kern w:val="0"/>
                <w:sz w:val="18"/>
                <w:szCs w:val="18"/>
              </w:rPr>
            </w:pPr>
            <w:r>
              <w:rPr>
                <w:rFonts w:ascii="宋体" w:hAnsi="宋体" w:cs="宋体" w:hint="eastAsia"/>
                <w:kern w:val="0"/>
                <w:sz w:val="18"/>
                <w:szCs w:val="18"/>
              </w:rPr>
              <w:t>筛分破碎粉尘通过在主厂房振动筛、破碎机上方设集尘罩，收集后通过安装脉冲式布袋除尘器处理后由排气筒引至主厂房排放；同时在筛分机、破碎机</w:t>
            </w:r>
            <w:proofErr w:type="gramStart"/>
            <w:r>
              <w:rPr>
                <w:rFonts w:ascii="宋体" w:hAnsi="宋体" w:cs="宋体" w:hint="eastAsia"/>
                <w:kern w:val="0"/>
                <w:sz w:val="18"/>
                <w:szCs w:val="18"/>
              </w:rPr>
              <w:t>受煤点</w:t>
            </w:r>
            <w:proofErr w:type="gramEnd"/>
            <w:r>
              <w:rPr>
                <w:rFonts w:ascii="宋体" w:hAnsi="宋体" w:cs="宋体" w:hint="eastAsia"/>
                <w:kern w:val="0"/>
                <w:sz w:val="18"/>
                <w:szCs w:val="18"/>
              </w:rPr>
              <w:t>处设置喷雾装置，增加原煤的含水率，</w:t>
            </w:r>
            <w:proofErr w:type="gramStart"/>
            <w:r>
              <w:rPr>
                <w:rFonts w:ascii="宋体" w:hAnsi="宋体" w:cs="宋体" w:hint="eastAsia"/>
                <w:kern w:val="0"/>
                <w:sz w:val="18"/>
                <w:szCs w:val="18"/>
              </w:rPr>
              <w:t>出</w:t>
            </w:r>
            <w:r>
              <w:rPr>
                <w:rFonts w:ascii="宋体" w:hAnsi="宋体" w:cs="宋体" w:hint="eastAsia"/>
                <w:kern w:val="0"/>
                <w:sz w:val="18"/>
                <w:szCs w:val="18"/>
              </w:rPr>
              <w:t>煤口</w:t>
            </w:r>
            <w:proofErr w:type="gramEnd"/>
            <w:r>
              <w:rPr>
                <w:rFonts w:ascii="宋体" w:hAnsi="宋体" w:cs="宋体" w:hint="eastAsia"/>
                <w:kern w:val="0"/>
                <w:sz w:val="18"/>
                <w:szCs w:val="18"/>
              </w:rPr>
              <w:t>防尘罩（伸缩帆布袋）。堆煤场粉尘：原煤和精煤等堆场设置密闭的堆棚；实行“原料进库，产品进仓”，四周墙壁每</w:t>
            </w:r>
            <w:r>
              <w:rPr>
                <w:rFonts w:ascii="宋体" w:hAnsi="宋体" w:cs="宋体" w:hint="eastAsia"/>
                <w:kern w:val="0"/>
                <w:sz w:val="18"/>
                <w:szCs w:val="18"/>
              </w:rPr>
              <w:t>10m</w:t>
            </w:r>
            <w:r>
              <w:rPr>
                <w:rFonts w:ascii="宋体" w:hAnsi="宋体" w:cs="宋体" w:hint="eastAsia"/>
                <w:kern w:val="0"/>
                <w:sz w:val="18"/>
                <w:szCs w:val="18"/>
              </w:rPr>
              <w:t>安装</w:t>
            </w:r>
            <w:r>
              <w:rPr>
                <w:rFonts w:ascii="宋体" w:hAnsi="宋体" w:cs="宋体" w:hint="eastAsia"/>
                <w:kern w:val="0"/>
                <w:sz w:val="18"/>
                <w:szCs w:val="18"/>
              </w:rPr>
              <w:t>1</w:t>
            </w:r>
            <w:r>
              <w:rPr>
                <w:rFonts w:ascii="宋体" w:hAnsi="宋体" w:cs="宋体" w:hint="eastAsia"/>
                <w:kern w:val="0"/>
                <w:sz w:val="18"/>
                <w:szCs w:val="18"/>
              </w:rPr>
              <w:t>个喷头</w:t>
            </w:r>
            <w:r>
              <w:rPr>
                <w:rFonts w:ascii="宋体" w:hAnsi="宋体" w:cs="宋体" w:hint="eastAsia"/>
                <w:kern w:val="0"/>
                <w:sz w:val="18"/>
                <w:szCs w:val="18"/>
              </w:rPr>
              <w:t>，喷雾降尘</w:t>
            </w:r>
            <w:r>
              <w:rPr>
                <w:rFonts w:ascii="宋体" w:hAnsi="宋体" w:cs="宋体" w:hint="eastAsia"/>
                <w:kern w:val="0"/>
                <w:sz w:val="18"/>
                <w:szCs w:val="18"/>
              </w:rPr>
              <w:t>。皮带输送粉尘：所有输送走廊均实行封闭式运煤，在皮带转载点溜槽落料点处的导料槽两端安装密闭挡帘，并设置喷雾洒水装置来防止煤尘的外逸。运输扬尘：采取限制车速、限制装载量、及时清扫路面、对道路勤洒水、车辆覆盖运输、设置车辆冲洗台、厂区内主要运输道路两侧适当的位置建议设置喷水管道系统等方式控制车辆运输道路扬尘。经分析预测颗粒物排放浓度满足《煤炭工业污染物排放标准》（</w:t>
            </w:r>
            <w:r>
              <w:rPr>
                <w:rFonts w:ascii="宋体" w:hAnsi="宋体" w:cs="宋体" w:hint="eastAsia"/>
                <w:kern w:val="0"/>
                <w:sz w:val="18"/>
                <w:szCs w:val="18"/>
              </w:rPr>
              <w:t>GB20426</w:t>
            </w:r>
            <w:r>
              <w:rPr>
                <w:rFonts w:ascii="宋体" w:hAnsi="宋体" w:cs="宋体" w:hint="eastAsia"/>
                <w:kern w:val="0"/>
                <w:sz w:val="18"/>
                <w:szCs w:val="18"/>
              </w:rPr>
              <w:t>-2006</w:t>
            </w:r>
            <w:r>
              <w:rPr>
                <w:rFonts w:ascii="宋体" w:hAnsi="宋体" w:cs="宋体" w:hint="eastAsia"/>
                <w:kern w:val="0"/>
                <w:sz w:val="18"/>
                <w:szCs w:val="18"/>
              </w:rPr>
              <w:t>）要求。食堂油烟：食堂安装油烟净化装置，将油烟处理后引至室外</w:t>
            </w:r>
            <w:r>
              <w:rPr>
                <w:rFonts w:ascii="宋体" w:hAnsi="宋体" w:cs="宋体" w:hint="eastAsia"/>
                <w:kern w:val="0"/>
                <w:sz w:val="18"/>
                <w:szCs w:val="18"/>
              </w:rPr>
              <w:t>达标排放</w:t>
            </w:r>
            <w:r>
              <w:rPr>
                <w:rFonts w:ascii="宋体" w:hAnsi="宋体" w:cs="宋体" w:hint="eastAsia"/>
                <w:kern w:val="0"/>
                <w:sz w:val="18"/>
                <w:szCs w:val="18"/>
              </w:rPr>
              <w:t>。</w:t>
            </w:r>
          </w:p>
          <w:p w:rsidR="000333E2" w:rsidRDefault="005E15F7">
            <w:pPr>
              <w:widowControl/>
              <w:spacing w:line="320" w:lineRule="exact"/>
              <w:jc w:val="left"/>
              <w:rPr>
                <w:rFonts w:ascii="宋体" w:hAnsi="宋体" w:cs="宋体"/>
                <w:kern w:val="0"/>
                <w:sz w:val="18"/>
                <w:szCs w:val="18"/>
              </w:rPr>
            </w:pPr>
            <w:r>
              <w:rPr>
                <w:rFonts w:ascii="宋体" w:hAnsi="宋体" w:cs="宋体"/>
                <w:b/>
                <w:bCs/>
                <w:kern w:val="0"/>
                <w:sz w:val="18"/>
                <w:szCs w:val="18"/>
              </w:rPr>
              <w:t>2.</w:t>
            </w:r>
            <w:r>
              <w:rPr>
                <w:rFonts w:hint="eastAsia"/>
              </w:rPr>
              <w:t xml:space="preserve"> </w:t>
            </w:r>
            <w:r>
              <w:rPr>
                <w:rFonts w:ascii="宋体" w:hAnsi="宋体" w:cs="宋体" w:hint="eastAsia"/>
                <w:b/>
                <w:bCs/>
                <w:kern w:val="0"/>
                <w:sz w:val="18"/>
                <w:szCs w:val="18"/>
              </w:rPr>
              <w:t>废水排放及治理措施</w:t>
            </w:r>
          </w:p>
          <w:p w:rsidR="000333E2" w:rsidRDefault="005E15F7">
            <w:pPr>
              <w:widowControl/>
              <w:spacing w:line="320" w:lineRule="exact"/>
              <w:jc w:val="left"/>
              <w:rPr>
                <w:rFonts w:ascii="宋体" w:hAnsi="宋体" w:cs="宋体"/>
                <w:kern w:val="0"/>
                <w:sz w:val="18"/>
                <w:szCs w:val="18"/>
              </w:rPr>
            </w:pPr>
            <w:r>
              <w:rPr>
                <w:rFonts w:ascii="宋体" w:hAnsi="宋体" w:cs="宋体" w:hint="eastAsia"/>
                <w:kern w:val="0"/>
                <w:sz w:val="18"/>
                <w:szCs w:val="18"/>
              </w:rPr>
              <w:t>煤泥水、地面冲洗水：经收集后全部</w:t>
            </w:r>
            <w:proofErr w:type="gramStart"/>
            <w:r>
              <w:rPr>
                <w:rFonts w:ascii="宋体" w:hAnsi="宋体" w:cs="宋体" w:hint="eastAsia"/>
                <w:kern w:val="0"/>
                <w:sz w:val="18"/>
                <w:szCs w:val="18"/>
              </w:rPr>
              <w:t>排入深锥斜板</w:t>
            </w:r>
            <w:proofErr w:type="gramEnd"/>
            <w:r>
              <w:rPr>
                <w:rFonts w:ascii="宋体" w:hAnsi="宋体" w:cs="宋体" w:hint="eastAsia"/>
                <w:kern w:val="0"/>
                <w:sz w:val="18"/>
                <w:szCs w:val="18"/>
              </w:rPr>
              <w:t>高效浓缩池，在混凝剂和絮凝剂作用下，浓缩产生煤泥。浓缩煤泥经尾煤压滤机压滤后，及时装车外运出售。浓缩池上清液流至循环水池，压滤机排出的清水直接进入循环水池，作为洗煤补水循环使用，实现洗水闭路循环。生活污水：收集后排入已建的化粪池进行预处理，拉运至东岳场镇污水处理厂处理后达标排放。车辆冲洗废水：设排水沟排入西侧场地雨水收集池，处理后回用不外排。</w:t>
            </w:r>
          </w:p>
          <w:p w:rsidR="000333E2" w:rsidRDefault="005E15F7">
            <w:pPr>
              <w:widowControl/>
              <w:spacing w:line="320" w:lineRule="exact"/>
              <w:jc w:val="left"/>
              <w:rPr>
                <w:rFonts w:ascii="宋体" w:hAnsi="宋体" w:cs="宋体"/>
                <w:b/>
                <w:bCs/>
                <w:kern w:val="0"/>
                <w:sz w:val="18"/>
                <w:szCs w:val="18"/>
              </w:rPr>
            </w:pPr>
            <w:r>
              <w:rPr>
                <w:rFonts w:ascii="宋体" w:hAnsi="宋体" w:cs="宋体"/>
                <w:b/>
                <w:bCs/>
                <w:kern w:val="0"/>
                <w:sz w:val="18"/>
                <w:szCs w:val="18"/>
              </w:rPr>
              <w:lastRenderedPageBreak/>
              <w:t>3.</w:t>
            </w:r>
            <w:r>
              <w:rPr>
                <w:rFonts w:ascii="宋体" w:hAnsi="宋体" w:cs="宋体"/>
                <w:b/>
                <w:bCs/>
                <w:kern w:val="0"/>
                <w:sz w:val="18"/>
                <w:szCs w:val="18"/>
              </w:rPr>
              <w:t>固体废弃物处置措施</w:t>
            </w:r>
          </w:p>
          <w:p w:rsidR="000333E2" w:rsidRDefault="005E15F7">
            <w:pPr>
              <w:widowControl/>
              <w:spacing w:line="320" w:lineRule="exact"/>
              <w:jc w:val="left"/>
              <w:rPr>
                <w:rFonts w:ascii="宋体" w:hAnsi="宋体" w:cs="宋体"/>
                <w:kern w:val="0"/>
                <w:sz w:val="18"/>
                <w:szCs w:val="18"/>
              </w:rPr>
            </w:pPr>
            <w:r>
              <w:rPr>
                <w:rFonts w:ascii="宋体" w:hAnsi="宋体" w:cs="宋体" w:hint="eastAsia"/>
                <w:kern w:val="0"/>
                <w:sz w:val="18"/>
                <w:szCs w:val="18"/>
              </w:rPr>
              <w:t>矸石：设矸石仓暂存后，及时装车外运出售至当地砖厂做原料。煤泥：设压滤机干化处理后堆存在厂区内固定堆存点，及时外运至泥煤厂。铁质杂物：收集后及时外运至场镇废品回收站。除尘器除尘灰定期清理后进入产品外售。废矿物油：建设危险废物</w:t>
            </w:r>
            <w:r>
              <w:rPr>
                <w:rFonts w:ascii="宋体" w:hAnsi="宋体" w:cs="宋体" w:hint="eastAsia"/>
                <w:kern w:val="0"/>
                <w:sz w:val="18"/>
                <w:szCs w:val="18"/>
              </w:rPr>
              <w:t>暂</w:t>
            </w:r>
            <w:r>
              <w:rPr>
                <w:rFonts w:ascii="宋体" w:hAnsi="宋体" w:cs="宋体" w:hint="eastAsia"/>
                <w:kern w:val="0"/>
                <w:sz w:val="18"/>
                <w:szCs w:val="18"/>
              </w:rPr>
              <w:t>存间</w:t>
            </w:r>
            <w:r>
              <w:rPr>
                <w:rFonts w:ascii="宋体" w:hAnsi="宋体" w:cs="宋体" w:hint="eastAsia"/>
                <w:kern w:val="0"/>
                <w:sz w:val="18"/>
                <w:szCs w:val="18"/>
              </w:rPr>
              <w:t>1</w:t>
            </w:r>
            <w:r>
              <w:rPr>
                <w:rFonts w:ascii="宋体" w:hAnsi="宋体" w:cs="宋体" w:hint="eastAsia"/>
                <w:kern w:val="0"/>
                <w:sz w:val="18"/>
                <w:szCs w:val="18"/>
              </w:rPr>
              <w:t>个，暂存间采取“防渗漏、防雨、防晒、防风”的四防措施，委托有资质单位处理，转运时执行危险废物转移联单制度。生活垃圾：收集袋装后，定期清运至当</w:t>
            </w:r>
            <w:proofErr w:type="gramStart"/>
            <w:r>
              <w:rPr>
                <w:rFonts w:ascii="宋体" w:hAnsi="宋体" w:cs="宋体" w:hint="eastAsia"/>
                <w:kern w:val="0"/>
                <w:sz w:val="18"/>
                <w:szCs w:val="18"/>
              </w:rPr>
              <w:t>地场镇生活</w:t>
            </w:r>
            <w:proofErr w:type="gramEnd"/>
            <w:r>
              <w:rPr>
                <w:rFonts w:ascii="宋体" w:hAnsi="宋体" w:cs="宋体" w:hint="eastAsia"/>
                <w:kern w:val="0"/>
                <w:sz w:val="18"/>
                <w:szCs w:val="18"/>
              </w:rPr>
              <w:t>垃圾收集点。</w:t>
            </w:r>
          </w:p>
          <w:p w:rsidR="000333E2" w:rsidRDefault="005E15F7">
            <w:pPr>
              <w:widowControl/>
              <w:spacing w:line="320" w:lineRule="exact"/>
              <w:jc w:val="left"/>
              <w:rPr>
                <w:rFonts w:ascii="宋体" w:hAnsi="宋体" w:cs="宋体"/>
                <w:kern w:val="0"/>
                <w:sz w:val="18"/>
                <w:szCs w:val="18"/>
              </w:rPr>
            </w:pPr>
            <w:r>
              <w:rPr>
                <w:rFonts w:ascii="宋体" w:hAnsi="宋体" w:cs="宋体"/>
                <w:b/>
                <w:bCs/>
                <w:kern w:val="0"/>
                <w:sz w:val="18"/>
                <w:szCs w:val="18"/>
              </w:rPr>
              <w:t>4.</w:t>
            </w:r>
            <w:r>
              <w:rPr>
                <w:rFonts w:ascii="宋体" w:hAnsi="宋体" w:cs="宋体"/>
                <w:b/>
                <w:bCs/>
                <w:kern w:val="0"/>
                <w:sz w:val="18"/>
                <w:szCs w:val="18"/>
              </w:rPr>
              <w:t>噪声排放及治理措施</w:t>
            </w:r>
          </w:p>
          <w:p w:rsidR="000333E2" w:rsidRDefault="005E15F7">
            <w:pPr>
              <w:widowControl/>
              <w:spacing w:line="320" w:lineRule="exact"/>
              <w:jc w:val="left"/>
              <w:rPr>
                <w:rFonts w:ascii="宋体" w:hAnsi="宋体" w:cs="宋体"/>
                <w:kern w:val="0"/>
                <w:sz w:val="18"/>
                <w:szCs w:val="18"/>
              </w:rPr>
            </w:pPr>
            <w:r>
              <w:rPr>
                <w:rFonts w:hint="eastAsia"/>
                <w:sz w:val="18"/>
                <w:szCs w:val="18"/>
              </w:rPr>
              <w:t>生产噪声通过选用</w:t>
            </w:r>
            <w:r>
              <w:rPr>
                <w:rFonts w:hint="eastAsia"/>
                <w:sz w:val="18"/>
                <w:szCs w:val="18"/>
              </w:rPr>
              <w:t>低噪声的先进环保</w:t>
            </w:r>
            <w:r>
              <w:rPr>
                <w:rFonts w:hint="eastAsia"/>
                <w:sz w:val="18"/>
                <w:szCs w:val="18"/>
              </w:rPr>
              <w:t>设备、</w:t>
            </w:r>
            <w:r>
              <w:rPr>
                <w:rFonts w:hint="eastAsia"/>
                <w:sz w:val="18"/>
                <w:szCs w:val="18"/>
              </w:rPr>
              <w:t>加强</w:t>
            </w:r>
            <w:r>
              <w:rPr>
                <w:rFonts w:hint="eastAsia"/>
                <w:sz w:val="18"/>
                <w:szCs w:val="18"/>
              </w:rPr>
              <w:t>车间密闭</w:t>
            </w:r>
            <w:r>
              <w:rPr>
                <w:rFonts w:hint="eastAsia"/>
                <w:sz w:val="18"/>
                <w:szCs w:val="18"/>
              </w:rPr>
              <w:t>工作建筑隔声</w:t>
            </w:r>
            <w:r>
              <w:rPr>
                <w:rFonts w:hint="eastAsia"/>
                <w:sz w:val="18"/>
                <w:szCs w:val="18"/>
              </w:rPr>
              <w:t>、设备基础减震、消声、加强生产管理、合理安排运输时间、及时对设备进行维护等措施控制后，能够实现厂界达标排放</w:t>
            </w:r>
            <w:r>
              <w:rPr>
                <w:sz w:val="18"/>
                <w:szCs w:val="18"/>
              </w:rPr>
              <w:t>。</w:t>
            </w:r>
            <w:r>
              <w:rPr>
                <w:rFonts w:ascii="宋体" w:hAnsi="宋体" w:cs="宋体"/>
                <w:kern w:val="0"/>
                <w:sz w:val="18"/>
                <w:szCs w:val="18"/>
              </w:rPr>
              <w:t xml:space="preserve"> </w:t>
            </w:r>
          </w:p>
          <w:p w:rsidR="000333E2" w:rsidRDefault="005E15F7">
            <w:pPr>
              <w:widowControl/>
              <w:spacing w:line="320" w:lineRule="exact"/>
              <w:jc w:val="left"/>
              <w:rPr>
                <w:rFonts w:ascii="宋体" w:hAnsi="宋体" w:cs="宋体"/>
                <w:kern w:val="0"/>
                <w:sz w:val="18"/>
                <w:szCs w:val="18"/>
              </w:rPr>
            </w:pPr>
            <w:r>
              <w:rPr>
                <w:rFonts w:ascii="宋体" w:hAnsi="宋体" w:cs="宋体"/>
                <w:b/>
                <w:bCs/>
                <w:kern w:val="0"/>
                <w:sz w:val="18"/>
                <w:szCs w:val="18"/>
              </w:rPr>
              <w:t>5.</w:t>
            </w:r>
            <w:r>
              <w:rPr>
                <w:rFonts w:ascii="宋体" w:hAnsi="宋体" w:cs="宋体"/>
                <w:b/>
                <w:bCs/>
                <w:kern w:val="0"/>
                <w:sz w:val="18"/>
                <w:szCs w:val="18"/>
              </w:rPr>
              <w:t>地下水污染防治措施</w:t>
            </w:r>
          </w:p>
          <w:p w:rsidR="000333E2" w:rsidRDefault="005E15F7">
            <w:pPr>
              <w:widowControl/>
              <w:spacing w:line="320" w:lineRule="exact"/>
              <w:jc w:val="left"/>
              <w:rPr>
                <w:rFonts w:ascii="宋体" w:hAnsi="宋体" w:cs="宋体"/>
                <w:kern w:val="0"/>
                <w:sz w:val="18"/>
                <w:szCs w:val="18"/>
              </w:rPr>
            </w:pPr>
            <w:r>
              <w:rPr>
                <w:rFonts w:ascii="宋体" w:hAnsi="宋体" w:cs="宋体"/>
                <w:kern w:val="0"/>
                <w:sz w:val="18"/>
                <w:szCs w:val="18"/>
              </w:rPr>
              <w:t>项目地下水污染防治措施</w:t>
            </w:r>
            <w:r>
              <w:rPr>
                <w:sz w:val="18"/>
                <w:szCs w:val="18"/>
              </w:rPr>
              <w:t>坚持</w:t>
            </w:r>
            <w:r>
              <w:rPr>
                <w:sz w:val="18"/>
                <w:szCs w:val="18"/>
              </w:rPr>
              <w:t>“</w:t>
            </w:r>
            <w:r>
              <w:rPr>
                <w:sz w:val="18"/>
                <w:szCs w:val="18"/>
              </w:rPr>
              <w:t>源头控制、末端防治、污染监控、应急响应</w:t>
            </w:r>
            <w:r>
              <w:rPr>
                <w:sz w:val="18"/>
                <w:szCs w:val="18"/>
              </w:rPr>
              <w:t>”</w:t>
            </w:r>
            <w:r>
              <w:rPr>
                <w:sz w:val="18"/>
                <w:szCs w:val="18"/>
              </w:rPr>
              <w:t>的原则，对可能污染地下水的区域进行防渗处理，将</w:t>
            </w:r>
            <w:r>
              <w:rPr>
                <w:rFonts w:hint="eastAsia"/>
                <w:sz w:val="18"/>
                <w:szCs w:val="18"/>
              </w:rPr>
              <w:t>新增的主厂房、</w:t>
            </w:r>
            <w:proofErr w:type="gramStart"/>
            <w:r>
              <w:rPr>
                <w:rFonts w:hint="eastAsia"/>
                <w:sz w:val="18"/>
                <w:szCs w:val="18"/>
              </w:rPr>
              <w:t>危废间</w:t>
            </w:r>
            <w:proofErr w:type="gramEnd"/>
            <w:r>
              <w:rPr>
                <w:rFonts w:hint="eastAsia"/>
                <w:sz w:val="18"/>
                <w:szCs w:val="18"/>
              </w:rPr>
              <w:t>设</w:t>
            </w:r>
            <w:r>
              <w:rPr>
                <w:sz w:val="18"/>
                <w:szCs w:val="18"/>
              </w:rPr>
              <w:t>为重点防渗区，</w:t>
            </w:r>
            <w:r>
              <w:rPr>
                <w:rFonts w:hint="eastAsia"/>
                <w:sz w:val="18"/>
                <w:szCs w:val="18"/>
              </w:rPr>
              <w:t>将</w:t>
            </w:r>
            <w:r>
              <w:rPr>
                <w:rFonts w:hint="eastAsia"/>
                <w:sz w:val="18"/>
                <w:szCs w:val="18"/>
              </w:rPr>
              <w:t>其他区域</w:t>
            </w:r>
            <w:r>
              <w:rPr>
                <w:rFonts w:hint="eastAsia"/>
                <w:sz w:val="18"/>
                <w:szCs w:val="18"/>
              </w:rPr>
              <w:t>设为一般防渗区，</w:t>
            </w:r>
            <w:r>
              <w:rPr>
                <w:sz w:val="18"/>
                <w:szCs w:val="18"/>
              </w:rPr>
              <w:t>采取相应防渗措施，有效杜绝项目对区域地下水的污染。</w:t>
            </w:r>
          </w:p>
          <w:p w:rsidR="000333E2" w:rsidRDefault="005E15F7">
            <w:pPr>
              <w:widowControl/>
              <w:spacing w:line="320" w:lineRule="exact"/>
              <w:jc w:val="left"/>
              <w:rPr>
                <w:rFonts w:ascii="宋体" w:hAnsi="宋体" w:cs="宋体"/>
                <w:kern w:val="0"/>
                <w:sz w:val="18"/>
                <w:szCs w:val="18"/>
              </w:rPr>
            </w:pPr>
            <w:r>
              <w:rPr>
                <w:rFonts w:ascii="宋体" w:hAnsi="宋体" w:cs="宋体" w:hint="eastAsia"/>
                <w:b/>
                <w:bCs/>
                <w:kern w:val="0"/>
                <w:sz w:val="18"/>
                <w:szCs w:val="18"/>
              </w:rPr>
              <w:t>二</w:t>
            </w:r>
            <w:r>
              <w:rPr>
                <w:rFonts w:ascii="宋体" w:hAnsi="宋体" w:cs="宋体"/>
                <w:b/>
                <w:bCs/>
                <w:kern w:val="0"/>
                <w:sz w:val="18"/>
                <w:szCs w:val="18"/>
              </w:rPr>
              <w:t>、环境风险</w:t>
            </w:r>
          </w:p>
          <w:p w:rsidR="000333E2" w:rsidRDefault="005E15F7">
            <w:pPr>
              <w:widowControl/>
              <w:spacing w:line="320" w:lineRule="exact"/>
              <w:jc w:val="left"/>
              <w:rPr>
                <w:rFonts w:ascii="宋体" w:hAnsi="宋体" w:cs="宋体"/>
                <w:kern w:val="0"/>
                <w:sz w:val="18"/>
                <w:szCs w:val="18"/>
              </w:rPr>
            </w:pPr>
            <w:r>
              <w:rPr>
                <w:rFonts w:ascii="宋体" w:hAnsi="宋体" w:cs="宋体" w:hint="eastAsia"/>
                <w:kern w:val="0"/>
                <w:sz w:val="18"/>
                <w:szCs w:val="18"/>
              </w:rPr>
              <w:t>项目主要环境风险为废水</w:t>
            </w:r>
            <w:r>
              <w:rPr>
                <w:rFonts w:ascii="宋体" w:hAnsi="宋体" w:cs="宋体" w:hint="eastAsia"/>
                <w:kern w:val="0"/>
                <w:sz w:val="18"/>
                <w:szCs w:val="18"/>
              </w:rPr>
              <w:t>事故外溢及矿物油</w:t>
            </w:r>
            <w:r>
              <w:rPr>
                <w:rFonts w:ascii="宋体" w:hAnsi="宋体" w:cs="宋体" w:hint="eastAsia"/>
                <w:kern w:val="0"/>
                <w:sz w:val="18"/>
                <w:szCs w:val="18"/>
              </w:rPr>
              <w:t>泄漏污染地下水、地表水</w:t>
            </w:r>
            <w:r>
              <w:rPr>
                <w:rFonts w:ascii="宋体" w:hAnsi="宋体" w:cs="宋体" w:hint="eastAsia"/>
                <w:kern w:val="0"/>
                <w:sz w:val="18"/>
                <w:szCs w:val="18"/>
              </w:rPr>
              <w:t>、</w:t>
            </w:r>
            <w:r>
              <w:rPr>
                <w:rFonts w:ascii="宋体" w:hAnsi="宋体" w:cs="宋体" w:hint="eastAsia"/>
                <w:kern w:val="0"/>
                <w:sz w:val="18"/>
                <w:szCs w:val="18"/>
              </w:rPr>
              <w:t>土壤</w:t>
            </w:r>
            <w:r>
              <w:rPr>
                <w:rFonts w:ascii="宋体" w:hAnsi="宋体" w:cs="宋体" w:hint="eastAsia"/>
                <w:kern w:val="0"/>
                <w:sz w:val="18"/>
                <w:szCs w:val="18"/>
              </w:rPr>
              <w:t>。项目</w:t>
            </w:r>
            <w:r>
              <w:rPr>
                <w:rFonts w:ascii="宋体" w:hAnsi="宋体" w:cs="宋体" w:hint="eastAsia"/>
                <w:kern w:val="0"/>
                <w:sz w:val="18"/>
                <w:szCs w:val="18"/>
              </w:rPr>
              <w:t>通过及时清理废水处理系统的煤泥，确保其足够的容量，保证水循环系统的正常运行，</w:t>
            </w:r>
            <w:r>
              <w:rPr>
                <w:rFonts w:ascii="宋体" w:hAnsi="宋体" w:cs="宋体" w:hint="eastAsia"/>
                <w:kern w:val="0"/>
                <w:sz w:val="18"/>
                <w:szCs w:val="18"/>
              </w:rPr>
              <w:t>采取分区防渗措施，对</w:t>
            </w:r>
            <w:proofErr w:type="gramStart"/>
            <w:r>
              <w:rPr>
                <w:rFonts w:ascii="宋体" w:hAnsi="宋体" w:cs="宋体" w:hint="eastAsia"/>
                <w:kern w:val="0"/>
                <w:sz w:val="18"/>
                <w:szCs w:val="18"/>
              </w:rPr>
              <w:t>危废间</w:t>
            </w:r>
            <w:proofErr w:type="gramEnd"/>
            <w:r>
              <w:rPr>
                <w:rFonts w:ascii="宋体" w:hAnsi="宋体" w:cs="宋体" w:hint="eastAsia"/>
                <w:kern w:val="0"/>
                <w:sz w:val="18"/>
                <w:szCs w:val="18"/>
              </w:rPr>
              <w:t>、柴油</w:t>
            </w:r>
            <w:r>
              <w:rPr>
                <w:rFonts w:ascii="宋体" w:hAnsi="宋体" w:cs="宋体" w:hint="eastAsia"/>
                <w:kern w:val="0"/>
                <w:sz w:val="18"/>
                <w:szCs w:val="18"/>
              </w:rPr>
              <w:t>储存间进行规范建设，采取“防风、防雨、防晒、防渗漏”的四防措施，容器底部外设置围堰，并分别设置醒目的标识，储存间严禁烟火，并配备一定数量的消防器材</w:t>
            </w:r>
            <w:r>
              <w:rPr>
                <w:rFonts w:ascii="宋体" w:hAnsi="宋体" w:cs="宋体" w:hint="eastAsia"/>
                <w:kern w:val="0"/>
                <w:sz w:val="18"/>
                <w:szCs w:val="18"/>
              </w:rPr>
              <w:t>等</w:t>
            </w:r>
            <w:r>
              <w:rPr>
                <w:rFonts w:ascii="宋体" w:hAnsi="宋体" w:cs="宋体" w:hint="eastAsia"/>
                <w:kern w:val="0"/>
                <w:sz w:val="18"/>
                <w:szCs w:val="18"/>
              </w:rPr>
              <w:t>措施</w:t>
            </w:r>
            <w:r>
              <w:rPr>
                <w:rFonts w:ascii="宋体" w:hAnsi="宋体" w:cs="宋体"/>
                <w:kern w:val="0"/>
                <w:sz w:val="18"/>
                <w:szCs w:val="18"/>
              </w:rPr>
              <w:t>，全面落实各项环境风险防范</w:t>
            </w:r>
            <w:r>
              <w:rPr>
                <w:rFonts w:ascii="宋体" w:hAnsi="宋体" w:cs="宋体" w:hint="eastAsia"/>
                <w:kern w:val="0"/>
                <w:sz w:val="18"/>
                <w:szCs w:val="18"/>
              </w:rPr>
              <w:t>要求</w:t>
            </w:r>
            <w:r>
              <w:rPr>
                <w:rFonts w:ascii="宋体" w:hAnsi="宋体" w:cs="宋体"/>
                <w:kern w:val="0"/>
                <w:sz w:val="18"/>
                <w:szCs w:val="18"/>
              </w:rPr>
              <w:t>，建立完善应急预案，定期排查环境隐患，加强应急演练，严防环境风险事故发生，环境</w:t>
            </w:r>
            <w:proofErr w:type="gramStart"/>
            <w:r>
              <w:rPr>
                <w:rFonts w:ascii="宋体" w:hAnsi="宋体" w:cs="宋体"/>
                <w:kern w:val="0"/>
                <w:sz w:val="18"/>
                <w:szCs w:val="18"/>
              </w:rPr>
              <w:t>风险属可接受</w:t>
            </w:r>
            <w:proofErr w:type="gramEnd"/>
            <w:r>
              <w:rPr>
                <w:rFonts w:ascii="宋体" w:hAnsi="宋体" w:cs="宋体"/>
                <w:kern w:val="0"/>
                <w:sz w:val="18"/>
                <w:szCs w:val="18"/>
              </w:rPr>
              <w:t>水平。</w:t>
            </w:r>
          </w:p>
          <w:p w:rsidR="000333E2" w:rsidRDefault="005E15F7">
            <w:pPr>
              <w:widowControl/>
              <w:spacing w:line="320" w:lineRule="exact"/>
              <w:jc w:val="left"/>
              <w:rPr>
                <w:rFonts w:ascii="宋体" w:hAnsi="宋体" w:cs="宋体"/>
                <w:kern w:val="0"/>
                <w:sz w:val="18"/>
                <w:szCs w:val="18"/>
              </w:rPr>
            </w:pPr>
            <w:r>
              <w:rPr>
                <w:rFonts w:ascii="宋体" w:hAnsi="宋体" w:cs="宋体" w:hint="eastAsia"/>
                <w:b/>
                <w:bCs/>
                <w:kern w:val="0"/>
                <w:sz w:val="18"/>
                <w:szCs w:val="18"/>
              </w:rPr>
              <w:t>三</w:t>
            </w:r>
            <w:r>
              <w:rPr>
                <w:rFonts w:ascii="宋体" w:hAnsi="宋体" w:cs="宋体"/>
                <w:b/>
                <w:bCs/>
                <w:kern w:val="0"/>
                <w:sz w:val="18"/>
                <w:szCs w:val="18"/>
              </w:rPr>
              <w:t>、其他部门意见</w:t>
            </w:r>
          </w:p>
          <w:p w:rsidR="000333E2" w:rsidRDefault="005E15F7">
            <w:pPr>
              <w:widowControl/>
              <w:spacing w:line="320" w:lineRule="exact"/>
              <w:jc w:val="left"/>
              <w:rPr>
                <w:rFonts w:ascii="Times New Roman" w:eastAsia="宋体" w:hAnsi="Times New Roman" w:cs="Times New Roman"/>
                <w:b/>
                <w:bCs/>
                <w:color w:val="333333"/>
                <w:szCs w:val="21"/>
              </w:rPr>
            </w:pPr>
            <w:r>
              <w:rPr>
                <w:rFonts w:ascii="宋体" w:hAnsi="宋体" w:cs="宋体"/>
                <w:kern w:val="0"/>
                <w:sz w:val="18"/>
                <w:szCs w:val="18"/>
              </w:rPr>
              <w:lastRenderedPageBreak/>
              <w:t>1.</w:t>
            </w:r>
            <w:r>
              <w:rPr>
                <w:rFonts w:ascii="宋体" w:hAnsi="宋体" w:cs="宋体" w:hint="eastAsia"/>
                <w:kern w:val="0"/>
                <w:sz w:val="18"/>
                <w:szCs w:val="18"/>
              </w:rPr>
              <w:t>通川区经济和信息化局</w:t>
            </w:r>
            <w:r>
              <w:rPr>
                <w:rFonts w:ascii="宋体" w:hAnsi="宋体" w:cs="宋体" w:hint="eastAsia"/>
                <w:kern w:val="0"/>
                <w:sz w:val="18"/>
                <w:szCs w:val="18"/>
              </w:rPr>
              <w:t>《</w:t>
            </w:r>
            <w:r>
              <w:rPr>
                <w:rFonts w:ascii="宋体" w:hAnsi="宋体" w:cs="宋体" w:hint="eastAsia"/>
                <w:kern w:val="0"/>
                <w:sz w:val="18"/>
                <w:szCs w:val="18"/>
              </w:rPr>
              <w:t>四川省技术改造投资项目备案表</w:t>
            </w:r>
            <w:r>
              <w:rPr>
                <w:rFonts w:ascii="宋体" w:hAnsi="宋体" w:cs="宋体" w:hint="eastAsia"/>
                <w:kern w:val="0"/>
                <w:sz w:val="18"/>
                <w:szCs w:val="18"/>
              </w:rPr>
              <w:t>》（备案号：川投资备【</w:t>
            </w:r>
            <w:r>
              <w:rPr>
                <w:rFonts w:ascii="宋体" w:hAnsi="宋体" w:cs="宋体" w:hint="eastAsia"/>
                <w:kern w:val="0"/>
                <w:sz w:val="18"/>
                <w:szCs w:val="18"/>
              </w:rPr>
              <w:t>2019-511702-11-</w:t>
            </w:r>
            <w:r>
              <w:rPr>
                <w:rFonts w:ascii="宋体" w:hAnsi="宋体" w:cs="宋体" w:hint="eastAsia"/>
                <w:kern w:val="0"/>
                <w:sz w:val="18"/>
                <w:szCs w:val="18"/>
              </w:rPr>
              <w:t>03-389956</w:t>
            </w:r>
            <w:r>
              <w:rPr>
                <w:rFonts w:ascii="宋体" w:hAnsi="宋体" w:cs="宋体" w:hint="eastAsia"/>
                <w:kern w:val="0"/>
                <w:sz w:val="18"/>
                <w:szCs w:val="18"/>
              </w:rPr>
              <w:t>】</w:t>
            </w:r>
            <w:r>
              <w:rPr>
                <w:rFonts w:ascii="宋体" w:hAnsi="宋体" w:cs="宋体" w:hint="eastAsia"/>
                <w:kern w:val="0"/>
                <w:sz w:val="18"/>
                <w:szCs w:val="18"/>
              </w:rPr>
              <w:t>JXQB-0097</w:t>
            </w:r>
            <w:r>
              <w:rPr>
                <w:rFonts w:ascii="宋体" w:hAnsi="宋体" w:cs="宋体" w:hint="eastAsia"/>
                <w:kern w:val="0"/>
                <w:sz w:val="18"/>
                <w:szCs w:val="18"/>
              </w:rPr>
              <w:t>号）</w:t>
            </w:r>
            <w:r>
              <w:rPr>
                <w:rFonts w:ascii="宋体" w:hAnsi="宋体" w:cs="宋体"/>
                <w:kern w:val="0"/>
                <w:sz w:val="18"/>
                <w:szCs w:val="18"/>
              </w:rPr>
              <w:t>；</w:t>
            </w:r>
          </w:p>
        </w:tc>
      </w:tr>
    </w:tbl>
    <w:p w:rsidR="000333E2" w:rsidRDefault="000333E2">
      <w:pPr>
        <w:ind w:firstLineChars="200" w:firstLine="560"/>
        <w:rPr>
          <w:rFonts w:ascii="Times New Roman" w:eastAsia="仿宋_GB2312" w:hAnsi="Times New Roman" w:cs="Times New Roman"/>
          <w:color w:val="333333"/>
          <w:sz w:val="28"/>
          <w:szCs w:val="28"/>
        </w:rPr>
      </w:pPr>
    </w:p>
    <w:sectPr w:rsidR="000333E2">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5F7" w:rsidRDefault="005E15F7" w:rsidP="005A2C63">
      <w:r>
        <w:separator/>
      </w:r>
    </w:p>
  </w:endnote>
  <w:endnote w:type="continuationSeparator" w:id="0">
    <w:p w:rsidR="005E15F7" w:rsidRDefault="005E15F7" w:rsidP="005A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63" w:rsidRDefault="005A2C6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63" w:rsidRDefault="005A2C6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63" w:rsidRDefault="005A2C6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5F7" w:rsidRDefault="005E15F7" w:rsidP="005A2C63">
      <w:r>
        <w:separator/>
      </w:r>
    </w:p>
  </w:footnote>
  <w:footnote w:type="continuationSeparator" w:id="0">
    <w:p w:rsidR="005E15F7" w:rsidRDefault="005E15F7" w:rsidP="005A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63" w:rsidRDefault="005A2C6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63" w:rsidRDefault="005A2C63" w:rsidP="005A2C63">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63" w:rsidRDefault="005A2C6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54735"/>
    <w:rsid w:val="000333E2"/>
    <w:rsid w:val="003424B8"/>
    <w:rsid w:val="005A2C63"/>
    <w:rsid w:val="005E15F7"/>
    <w:rsid w:val="03F1298D"/>
    <w:rsid w:val="09E039C0"/>
    <w:rsid w:val="0CAB4A45"/>
    <w:rsid w:val="10DD551C"/>
    <w:rsid w:val="1BFD3073"/>
    <w:rsid w:val="22CC2095"/>
    <w:rsid w:val="34AD0909"/>
    <w:rsid w:val="4C85080A"/>
    <w:rsid w:val="5E557FB5"/>
    <w:rsid w:val="64BC7ADE"/>
    <w:rsid w:val="69354735"/>
    <w:rsid w:val="6E5C5D8D"/>
    <w:rsid w:val="77135678"/>
    <w:rsid w:val="7B6A4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qFormat/>
    <w:rPr>
      <w:rFonts w:ascii="宋体" w:eastAsia="宋体" w:hAnsi="宋体" w:cs="宋体" w:hint="eastAsia"/>
      <w:color w:val="333333"/>
      <w:sz w:val="18"/>
      <w:szCs w:val="18"/>
      <w:u w:val="none"/>
    </w:rPr>
  </w:style>
  <w:style w:type="character" w:styleId="a6">
    <w:name w:val="Hyperlink"/>
    <w:basedOn w:val="a0"/>
    <w:qFormat/>
    <w:rPr>
      <w:rFonts w:ascii="宋体" w:eastAsia="宋体" w:hAnsi="宋体" w:cs="宋体" w:hint="eastAsia"/>
      <w:color w:val="333333"/>
      <w:sz w:val="18"/>
      <w:szCs w:val="18"/>
      <w:u w:val="none"/>
    </w:rPr>
  </w:style>
  <w:style w:type="paragraph" w:styleId="a7">
    <w:name w:val="header"/>
    <w:basedOn w:val="a"/>
    <w:link w:val="Char"/>
    <w:rsid w:val="005A2C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5A2C63"/>
    <w:rPr>
      <w:kern w:val="2"/>
      <w:sz w:val="18"/>
      <w:szCs w:val="18"/>
    </w:rPr>
  </w:style>
  <w:style w:type="paragraph" w:styleId="a8">
    <w:name w:val="footer"/>
    <w:basedOn w:val="a"/>
    <w:link w:val="Char0"/>
    <w:rsid w:val="005A2C63"/>
    <w:pPr>
      <w:tabs>
        <w:tab w:val="center" w:pos="4153"/>
        <w:tab w:val="right" w:pos="8306"/>
      </w:tabs>
      <w:snapToGrid w:val="0"/>
      <w:jc w:val="left"/>
    </w:pPr>
    <w:rPr>
      <w:sz w:val="18"/>
      <w:szCs w:val="18"/>
    </w:rPr>
  </w:style>
  <w:style w:type="character" w:customStyle="1" w:styleId="Char0">
    <w:name w:val="页脚 Char"/>
    <w:basedOn w:val="a0"/>
    <w:link w:val="a8"/>
    <w:rsid w:val="005A2C6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qFormat/>
    <w:rPr>
      <w:rFonts w:ascii="宋体" w:eastAsia="宋体" w:hAnsi="宋体" w:cs="宋体" w:hint="eastAsia"/>
      <w:color w:val="333333"/>
      <w:sz w:val="18"/>
      <w:szCs w:val="18"/>
      <w:u w:val="none"/>
    </w:rPr>
  </w:style>
  <w:style w:type="character" w:styleId="a6">
    <w:name w:val="Hyperlink"/>
    <w:basedOn w:val="a0"/>
    <w:qFormat/>
    <w:rPr>
      <w:rFonts w:ascii="宋体" w:eastAsia="宋体" w:hAnsi="宋体" w:cs="宋体" w:hint="eastAsia"/>
      <w:color w:val="333333"/>
      <w:sz w:val="18"/>
      <w:szCs w:val="18"/>
      <w:u w:val="none"/>
    </w:rPr>
  </w:style>
  <w:style w:type="paragraph" w:styleId="a7">
    <w:name w:val="header"/>
    <w:basedOn w:val="a"/>
    <w:link w:val="Char"/>
    <w:rsid w:val="005A2C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5A2C63"/>
    <w:rPr>
      <w:kern w:val="2"/>
      <w:sz w:val="18"/>
      <w:szCs w:val="18"/>
    </w:rPr>
  </w:style>
  <w:style w:type="paragraph" w:styleId="a8">
    <w:name w:val="footer"/>
    <w:basedOn w:val="a"/>
    <w:link w:val="Char0"/>
    <w:rsid w:val="005A2C63"/>
    <w:pPr>
      <w:tabs>
        <w:tab w:val="center" w:pos="4153"/>
        <w:tab w:val="right" w:pos="8306"/>
      </w:tabs>
      <w:snapToGrid w:val="0"/>
      <w:jc w:val="left"/>
    </w:pPr>
    <w:rPr>
      <w:sz w:val="18"/>
      <w:szCs w:val="18"/>
    </w:rPr>
  </w:style>
  <w:style w:type="character" w:customStyle="1" w:styleId="Char0">
    <w:name w:val="页脚 Char"/>
    <w:basedOn w:val="a0"/>
    <w:link w:val="a8"/>
    <w:rsid w:val="005A2C6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1449</Characters>
  <Application>Microsoft Office Word</Application>
  <DocSecurity>0</DocSecurity>
  <Lines>12</Lines>
  <Paragraphs>3</Paragraphs>
  <ScaleCrop>false</ScaleCrop>
  <Company>微软中国</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在路上1413430408</dc:creator>
  <cp:lastModifiedBy>杜青</cp:lastModifiedBy>
  <cp:revision>2</cp:revision>
  <dcterms:created xsi:type="dcterms:W3CDTF">2020-05-19T01:41:00Z</dcterms:created>
  <dcterms:modified xsi:type="dcterms:W3CDTF">2020-05-19T01:41:00Z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