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67" w:rsidRDefault="008E2BED">
      <w:pPr>
        <w:spacing w:line="360" w:lineRule="auto"/>
        <w:ind w:firstLineChars="200" w:firstLine="482"/>
        <w:rPr>
          <w:rFonts w:ascii="Times New Roman" w:hAnsi="Times New Roman" w:cs="Times New Roman"/>
        </w:rPr>
      </w:pPr>
      <w:r>
        <w:rPr>
          <w:rFonts w:ascii="Times New Roman" w:eastAsia="宋体" w:hAnsi="Times New Roman" w:cs="Times New Roman"/>
          <w:b/>
          <w:color w:val="333333"/>
          <w:kern w:val="0"/>
          <w:sz w:val="24"/>
          <w:lang w:bidi="ar"/>
        </w:rPr>
        <w:t>一、</w:t>
      </w:r>
      <w:bookmarkStart w:id="0" w:name="_GoBack"/>
      <w:r>
        <w:rPr>
          <w:rFonts w:ascii="Times New Roman" w:eastAsia="宋体" w:hAnsi="Times New Roman" w:cs="Times New Roman"/>
          <w:b/>
          <w:color w:val="333333"/>
          <w:kern w:val="0"/>
          <w:sz w:val="24"/>
          <w:lang w:bidi="ar"/>
        </w:rPr>
        <w:t>拟批准的建设项目环境影响报告书</w:t>
      </w:r>
    </w:p>
    <w:tbl>
      <w:tblPr>
        <w:tblStyle w:val="a4"/>
        <w:tblW w:w="14163" w:type="dxa"/>
        <w:tblLayout w:type="fixed"/>
        <w:tblLook w:val="04A0" w:firstRow="1" w:lastRow="0" w:firstColumn="1" w:lastColumn="0" w:noHBand="0" w:noVBand="1"/>
      </w:tblPr>
      <w:tblGrid>
        <w:gridCol w:w="710"/>
        <w:gridCol w:w="1060"/>
        <w:gridCol w:w="1125"/>
        <w:gridCol w:w="1185"/>
        <w:gridCol w:w="1620"/>
        <w:gridCol w:w="1890"/>
        <w:gridCol w:w="6573"/>
      </w:tblGrid>
      <w:tr w:rsidR="00944167">
        <w:tc>
          <w:tcPr>
            <w:tcW w:w="710" w:type="dxa"/>
            <w:vAlign w:val="center"/>
          </w:tcPr>
          <w:bookmarkEnd w:id="0"/>
          <w:p w:rsidR="00944167" w:rsidRDefault="008E2BE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序号</w:t>
            </w:r>
          </w:p>
        </w:tc>
        <w:tc>
          <w:tcPr>
            <w:tcW w:w="1060" w:type="dxa"/>
            <w:vAlign w:val="center"/>
          </w:tcPr>
          <w:p w:rsidR="00944167" w:rsidRDefault="008E2BE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项目名称</w:t>
            </w:r>
          </w:p>
        </w:tc>
        <w:tc>
          <w:tcPr>
            <w:tcW w:w="1125" w:type="dxa"/>
            <w:vAlign w:val="center"/>
          </w:tcPr>
          <w:p w:rsidR="00944167" w:rsidRDefault="008E2BE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建设地点</w:t>
            </w:r>
          </w:p>
        </w:tc>
        <w:tc>
          <w:tcPr>
            <w:tcW w:w="1185" w:type="dxa"/>
            <w:vAlign w:val="center"/>
          </w:tcPr>
          <w:p w:rsidR="00944167" w:rsidRDefault="008E2BE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建设单位</w:t>
            </w:r>
          </w:p>
        </w:tc>
        <w:tc>
          <w:tcPr>
            <w:tcW w:w="1620" w:type="dxa"/>
            <w:vAlign w:val="center"/>
          </w:tcPr>
          <w:p w:rsidR="00944167" w:rsidRDefault="008E2BE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环境影响评价机构</w:t>
            </w:r>
          </w:p>
        </w:tc>
        <w:tc>
          <w:tcPr>
            <w:tcW w:w="1890" w:type="dxa"/>
            <w:vAlign w:val="center"/>
          </w:tcPr>
          <w:p w:rsidR="00944167" w:rsidRDefault="008E2BE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项目概况</w:t>
            </w:r>
          </w:p>
        </w:tc>
        <w:tc>
          <w:tcPr>
            <w:tcW w:w="6573" w:type="dxa"/>
            <w:vAlign w:val="center"/>
          </w:tcPr>
          <w:p w:rsidR="00944167" w:rsidRDefault="008E2BED">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主要环境影响及预防或者减轻不良环境影响的对</w:t>
            </w:r>
            <w:r>
              <w:rPr>
                <w:rFonts w:ascii="Times New Roman" w:eastAsia="宋体" w:hAnsi="Times New Roman" w:cs="Times New Roman"/>
                <w:b/>
                <w:bCs/>
                <w:color w:val="333333"/>
                <w:szCs w:val="21"/>
              </w:rPr>
              <w:t>策</w:t>
            </w:r>
            <w:r>
              <w:rPr>
                <w:rFonts w:ascii="Times New Roman" w:eastAsia="宋体" w:hAnsi="Times New Roman" w:cs="Times New Roman"/>
                <w:b/>
                <w:bCs/>
                <w:color w:val="333333"/>
                <w:szCs w:val="21"/>
              </w:rPr>
              <w:t>和措施</w:t>
            </w:r>
          </w:p>
        </w:tc>
      </w:tr>
      <w:tr w:rsidR="00944167">
        <w:tc>
          <w:tcPr>
            <w:tcW w:w="710" w:type="dxa"/>
          </w:tcPr>
          <w:p w:rsidR="00944167" w:rsidRDefault="008E2BED">
            <w:pPr>
              <w:widowControl/>
              <w:spacing w:line="360" w:lineRule="exact"/>
              <w:jc w:val="left"/>
              <w:rPr>
                <w:rFonts w:ascii="Times New Roman" w:eastAsia="宋体" w:hAnsi="Times New Roman" w:cs="Times New Roman"/>
                <w:b/>
                <w:bCs/>
                <w:color w:val="333333"/>
                <w:szCs w:val="21"/>
              </w:rPr>
            </w:pPr>
            <w:r>
              <w:rPr>
                <w:rFonts w:ascii="宋体" w:hAnsi="宋体" w:cs="宋体"/>
                <w:color w:val="000000"/>
                <w:kern w:val="0"/>
                <w:sz w:val="18"/>
                <w:szCs w:val="18"/>
              </w:rPr>
              <w:t>1</w:t>
            </w:r>
          </w:p>
        </w:tc>
        <w:tc>
          <w:tcPr>
            <w:tcW w:w="1060" w:type="dxa"/>
          </w:tcPr>
          <w:p w:rsidR="00944167" w:rsidRDefault="008E2BED">
            <w:pPr>
              <w:widowControl/>
              <w:spacing w:line="360" w:lineRule="exact"/>
              <w:jc w:val="left"/>
              <w:rPr>
                <w:rFonts w:ascii="Times New Roman" w:eastAsia="宋体" w:hAnsi="Times New Roman" w:cs="Times New Roman"/>
                <w:b/>
                <w:bCs/>
                <w:color w:val="333333"/>
                <w:szCs w:val="21"/>
              </w:rPr>
            </w:pPr>
            <w:r>
              <w:rPr>
                <w:rFonts w:ascii="宋体" w:hAnsi="宋体" w:cs="宋体" w:hint="eastAsia"/>
                <w:bCs/>
                <w:color w:val="000000"/>
                <w:kern w:val="0"/>
                <w:sz w:val="18"/>
                <w:szCs w:val="18"/>
              </w:rPr>
              <w:t>渠县菜家山牲畜养殖有限公司年出栏</w:t>
            </w:r>
            <w:r>
              <w:rPr>
                <w:rFonts w:ascii="宋体" w:hAnsi="宋体" w:cs="宋体" w:hint="eastAsia"/>
                <w:bCs/>
                <w:color w:val="000000"/>
                <w:kern w:val="0"/>
                <w:sz w:val="18"/>
                <w:szCs w:val="18"/>
              </w:rPr>
              <w:t>1200</w:t>
            </w:r>
            <w:r>
              <w:rPr>
                <w:rFonts w:ascii="宋体" w:hAnsi="宋体" w:cs="宋体" w:hint="eastAsia"/>
                <w:bCs/>
                <w:color w:val="000000"/>
                <w:kern w:val="0"/>
                <w:sz w:val="18"/>
                <w:szCs w:val="18"/>
              </w:rPr>
              <w:t>头肉牛养殖项目</w:t>
            </w:r>
          </w:p>
        </w:tc>
        <w:tc>
          <w:tcPr>
            <w:tcW w:w="1125" w:type="dxa"/>
          </w:tcPr>
          <w:p w:rsidR="00944167" w:rsidRDefault="008E2BED">
            <w:pPr>
              <w:widowControl/>
              <w:spacing w:line="360" w:lineRule="exact"/>
              <w:jc w:val="left"/>
              <w:rPr>
                <w:rFonts w:ascii="Times New Roman" w:eastAsia="宋体" w:hAnsi="Times New Roman" w:cs="Times New Roman"/>
                <w:b/>
                <w:bCs/>
                <w:color w:val="333333"/>
                <w:szCs w:val="21"/>
              </w:rPr>
            </w:pPr>
            <w:r>
              <w:rPr>
                <w:rFonts w:ascii="宋体" w:hAnsi="宋体" w:cs="宋体" w:hint="eastAsia"/>
                <w:color w:val="000000"/>
                <w:kern w:val="0"/>
                <w:sz w:val="18"/>
                <w:szCs w:val="18"/>
              </w:rPr>
              <w:t>达州市渠县三汇</w:t>
            </w:r>
            <w:proofErr w:type="gramStart"/>
            <w:r>
              <w:rPr>
                <w:rFonts w:ascii="宋体" w:hAnsi="宋体" w:cs="宋体" w:hint="eastAsia"/>
                <w:color w:val="000000"/>
                <w:kern w:val="0"/>
                <w:sz w:val="18"/>
                <w:szCs w:val="18"/>
              </w:rPr>
              <w:t>镇长久村三组</w:t>
            </w:r>
            <w:proofErr w:type="gramEnd"/>
          </w:p>
        </w:tc>
        <w:tc>
          <w:tcPr>
            <w:tcW w:w="1185" w:type="dxa"/>
          </w:tcPr>
          <w:p w:rsidR="00944167" w:rsidRDefault="008E2BED">
            <w:pPr>
              <w:widowControl/>
              <w:spacing w:line="360" w:lineRule="exact"/>
              <w:jc w:val="left"/>
              <w:rPr>
                <w:rFonts w:ascii="Times New Roman" w:eastAsia="宋体" w:hAnsi="Times New Roman" w:cs="Times New Roman"/>
                <w:b/>
                <w:bCs/>
                <w:color w:val="333333"/>
                <w:szCs w:val="21"/>
              </w:rPr>
            </w:pPr>
            <w:r>
              <w:rPr>
                <w:rFonts w:ascii="宋体" w:hAnsi="宋体" w:cs="宋体" w:hint="eastAsia"/>
                <w:bCs/>
                <w:color w:val="000000"/>
                <w:kern w:val="0"/>
                <w:sz w:val="18"/>
                <w:szCs w:val="18"/>
              </w:rPr>
              <w:t>渠县菜家山牲畜养殖有限公司</w:t>
            </w:r>
          </w:p>
        </w:tc>
        <w:tc>
          <w:tcPr>
            <w:tcW w:w="1620" w:type="dxa"/>
          </w:tcPr>
          <w:p w:rsidR="00944167" w:rsidRDefault="008E2BED">
            <w:pPr>
              <w:widowControl/>
              <w:spacing w:line="360" w:lineRule="exact"/>
              <w:jc w:val="left"/>
              <w:rPr>
                <w:rFonts w:ascii="Times New Roman" w:eastAsia="宋体" w:hAnsi="Times New Roman" w:cs="Times New Roman"/>
                <w:b/>
                <w:bCs/>
                <w:color w:val="333333"/>
                <w:szCs w:val="21"/>
              </w:rPr>
            </w:pPr>
            <w:r>
              <w:rPr>
                <w:rFonts w:ascii="宋体" w:hAnsi="宋体" w:cs="宋体" w:hint="eastAsia"/>
                <w:color w:val="000000"/>
                <w:kern w:val="0"/>
                <w:sz w:val="18"/>
                <w:szCs w:val="18"/>
              </w:rPr>
              <w:t>四川嘉盛裕环保技术有限公司</w:t>
            </w:r>
          </w:p>
        </w:tc>
        <w:tc>
          <w:tcPr>
            <w:tcW w:w="1890" w:type="dxa"/>
          </w:tcPr>
          <w:p w:rsidR="00944167" w:rsidRDefault="008E2BED">
            <w:pPr>
              <w:widowControl/>
              <w:spacing w:line="360" w:lineRule="exact"/>
              <w:jc w:val="left"/>
              <w:rPr>
                <w:sz w:val="18"/>
                <w:szCs w:val="18"/>
              </w:rPr>
            </w:pPr>
            <w:r>
              <w:rPr>
                <w:rFonts w:hint="eastAsia"/>
                <w:sz w:val="18"/>
                <w:szCs w:val="18"/>
              </w:rPr>
              <w:t>项目总用地面积约</w:t>
            </w:r>
            <w:r>
              <w:rPr>
                <w:rFonts w:hint="eastAsia"/>
                <w:sz w:val="18"/>
                <w:szCs w:val="18"/>
              </w:rPr>
              <w:t>41.5</w:t>
            </w:r>
            <w:r>
              <w:rPr>
                <w:rFonts w:hint="eastAsia"/>
                <w:sz w:val="18"/>
                <w:szCs w:val="18"/>
              </w:rPr>
              <w:t>亩，总建筑面积约</w:t>
            </w:r>
            <w:r>
              <w:rPr>
                <w:rFonts w:hint="eastAsia"/>
                <w:sz w:val="18"/>
                <w:szCs w:val="18"/>
              </w:rPr>
              <w:t>17000</w:t>
            </w:r>
            <w:r>
              <w:rPr>
                <w:rFonts w:hint="eastAsia"/>
                <w:sz w:val="18"/>
                <w:szCs w:val="18"/>
              </w:rPr>
              <w:t>平方米，主要建设标准化牛舍、隔离圈舍、</w:t>
            </w:r>
            <w:proofErr w:type="gramStart"/>
            <w:r>
              <w:rPr>
                <w:rFonts w:hint="eastAsia"/>
                <w:sz w:val="18"/>
                <w:szCs w:val="18"/>
              </w:rPr>
              <w:t>能繁母牛</w:t>
            </w:r>
            <w:proofErr w:type="gramEnd"/>
            <w:r>
              <w:rPr>
                <w:rFonts w:hint="eastAsia"/>
                <w:sz w:val="18"/>
                <w:szCs w:val="18"/>
              </w:rPr>
              <w:t>圈舍、犊牛圈舍、饲料储存车间及饲料加工房、有机肥生产车间以及办公楼、宿舍楼，并配套建设沼气发酵罐、储气罐、沼液贮存池、有机肥生产车间等环保工程。常年存栏量</w:t>
            </w:r>
            <w:r>
              <w:rPr>
                <w:rFonts w:hint="eastAsia"/>
                <w:sz w:val="18"/>
                <w:szCs w:val="18"/>
              </w:rPr>
              <w:t>1250</w:t>
            </w:r>
            <w:r>
              <w:rPr>
                <w:rFonts w:hint="eastAsia"/>
                <w:sz w:val="18"/>
                <w:szCs w:val="18"/>
              </w:rPr>
              <w:t>头牛，年出栏商品肉牛</w:t>
            </w:r>
            <w:r>
              <w:rPr>
                <w:rFonts w:hint="eastAsia"/>
                <w:sz w:val="18"/>
                <w:szCs w:val="18"/>
              </w:rPr>
              <w:t>1200</w:t>
            </w:r>
            <w:r>
              <w:rPr>
                <w:rFonts w:hint="eastAsia"/>
                <w:sz w:val="18"/>
                <w:szCs w:val="18"/>
              </w:rPr>
              <w:t>头。</w:t>
            </w:r>
          </w:p>
          <w:p w:rsidR="00944167" w:rsidRDefault="008E2BED">
            <w:pPr>
              <w:widowControl/>
              <w:spacing w:line="360" w:lineRule="exact"/>
              <w:jc w:val="left"/>
              <w:rPr>
                <w:sz w:val="18"/>
                <w:szCs w:val="18"/>
              </w:rPr>
            </w:pPr>
            <w:r>
              <w:rPr>
                <w:rFonts w:hint="eastAsia"/>
                <w:sz w:val="18"/>
                <w:szCs w:val="18"/>
              </w:rPr>
              <w:t>项目</w:t>
            </w:r>
            <w:r>
              <w:rPr>
                <w:sz w:val="18"/>
                <w:szCs w:val="18"/>
              </w:rPr>
              <w:t>总投资</w:t>
            </w:r>
            <w:r>
              <w:rPr>
                <w:bCs/>
                <w:sz w:val="18"/>
                <w:szCs w:val="18"/>
                <w:lang w:val="zh-CN"/>
              </w:rPr>
              <w:t>2500</w:t>
            </w:r>
            <w:r>
              <w:rPr>
                <w:sz w:val="18"/>
                <w:szCs w:val="18"/>
              </w:rPr>
              <w:t>万元</w:t>
            </w:r>
            <w:r>
              <w:rPr>
                <w:rFonts w:hint="eastAsia"/>
                <w:sz w:val="18"/>
                <w:szCs w:val="18"/>
              </w:rPr>
              <w:t>，其中环保投资</w:t>
            </w:r>
            <w:r>
              <w:rPr>
                <w:sz w:val="18"/>
                <w:szCs w:val="18"/>
              </w:rPr>
              <w:t>134.5</w:t>
            </w:r>
            <w:r>
              <w:rPr>
                <w:rFonts w:hint="eastAsia"/>
                <w:sz w:val="18"/>
                <w:szCs w:val="18"/>
              </w:rPr>
              <w:t>万元。</w:t>
            </w:r>
            <w:r>
              <w:rPr>
                <w:rFonts w:hint="eastAsia"/>
                <w:sz w:val="18"/>
                <w:szCs w:val="18"/>
              </w:rPr>
              <w:t xml:space="preserve"> </w:t>
            </w:r>
          </w:p>
          <w:p w:rsidR="00944167" w:rsidRDefault="008E2BED">
            <w:pPr>
              <w:widowControl/>
              <w:spacing w:line="360" w:lineRule="exact"/>
              <w:jc w:val="left"/>
              <w:rPr>
                <w:rFonts w:ascii="Times New Roman" w:eastAsia="宋体" w:hAnsi="Times New Roman" w:cs="Times New Roman"/>
                <w:b/>
                <w:bCs/>
                <w:color w:val="333333"/>
                <w:szCs w:val="21"/>
              </w:rPr>
            </w:pPr>
            <w:r>
              <w:rPr>
                <w:rFonts w:hint="eastAsia"/>
                <w:sz w:val="18"/>
                <w:szCs w:val="18"/>
              </w:rPr>
              <w:lastRenderedPageBreak/>
              <w:t>项目已于</w:t>
            </w:r>
            <w:r>
              <w:rPr>
                <w:rFonts w:hint="eastAsia"/>
                <w:sz w:val="18"/>
                <w:szCs w:val="18"/>
              </w:rPr>
              <w:t>2016</w:t>
            </w:r>
            <w:r>
              <w:rPr>
                <w:rFonts w:hint="eastAsia"/>
                <w:sz w:val="18"/>
                <w:szCs w:val="18"/>
              </w:rPr>
              <w:t>年</w:t>
            </w:r>
            <w:r>
              <w:rPr>
                <w:rFonts w:hint="eastAsia"/>
                <w:sz w:val="18"/>
                <w:szCs w:val="18"/>
              </w:rPr>
              <w:t>7</w:t>
            </w:r>
            <w:r>
              <w:rPr>
                <w:rFonts w:hint="eastAsia"/>
                <w:sz w:val="18"/>
                <w:szCs w:val="18"/>
              </w:rPr>
              <w:t>月开工建设，并于</w:t>
            </w:r>
            <w:r>
              <w:rPr>
                <w:rFonts w:hint="eastAsia"/>
                <w:sz w:val="18"/>
                <w:szCs w:val="18"/>
              </w:rPr>
              <w:t>2016</w:t>
            </w:r>
            <w:r>
              <w:rPr>
                <w:rFonts w:hint="eastAsia"/>
                <w:sz w:val="18"/>
                <w:szCs w:val="18"/>
              </w:rPr>
              <w:t>年</w:t>
            </w:r>
            <w:r>
              <w:rPr>
                <w:rFonts w:hint="eastAsia"/>
                <w:sz w:val="18"/>
                <w:szCs w:val="18"/>
              </w:rPr>
              <w:t>12</w:t>
            </w:r>
            <w:r>
              <w:rPr>
                <w:rFonts w:hint="eastAsia"/>
                <w:sz w:val="18"/>
                <w:szCs w:val="18"/>
              </w:rPr>
              <w:t>月建设完成并投入运营</w:t>
            </w:r>
            <w:r>
              <w:rPr>
                <w:sz w:val="18"/>
                <w:szCs w:val="18"/>
              </w:rPr>
              <w:t>。本次环评为补办手续。</w:t>
            </w:r>
            <w:r>
              <w:rPr>
                <w:rFonts w:hint="eastAsia"/>
                <w:sz w:val="18"/>
                <w:szCs w:val="18"/>
              </w:rPr>
              <w:t xml:space="preserve"> </w:t>
            </w:r>
          </w:p>
        </w:tc>
        <w:tc>
          <w:tcPr>
            <w:tcW w:w="6573" w:type="dxa"/>
          </w:tcPr>
          <w:p w:rsidR="00944167" w:rsidRDefault="008E2BED">
            <w:pPr>
              <w:widowControl/>
              <w:spacing w:line="360" w:lineRule="exact"/>
              <w:jc w:val="left"/>
              <w:rPr>
                <w:rFonts w:ascii="宋体" w:hAnsi="宋体" w:cs="宋体"/>
                <w:kern w:val="0"/>
                <w:sz w:val="18"/>
                <w:szCs w:val="18"/>
              </w:rPr>
            </w:pPr>
            <w:r>
              <w:rPr>
                <w:rFonts w:ascii="宋体" w:hAnsi="宋体" w:cs="宋体"/>
                <w:b/>
                <w:bCs/>
                <w:kern w:val="0"/>
                <w:sz w:val="18"/>
                <w:szCs w:val="18"/>
              </w:rPr>
              <w:lastRenderedPageBreak/>
              <w:t>一、营运期环境保护措施</w:t>
            </w:r>
          </w:p>
          <w:p w:rsidR="00944167" w:rsidRDefault="008E2BED">
            <w:pPr>
              <w:widowControl/>
              <w:spacing w:line="360" w:lineRule="exact"/>
              <w:jc w:val="left"/>
              <w:rPr>
                <w:rFonts w:ascii="宋体" w:hAnsi="宋体" w:cs="宋体"/>
                <w:b/>
                <w:bCs/>
                <w:kern w:val="0"/>
                <w:sz w:val="18"/>
                <w:szCs w:val="18"/>
              </w:rPr>
            </w:pPr>
            <w:r>
              <w:rPr>
                <w:rFonts w:ascii="宋体" w:hAnsi="宋体" w:cs="宋体"/>
                <w:b/>
                <w:bCs/>
                <w:kern w:val="0"/>
                <w:sz w:val="18"/>
                <w:szCs w:val="18"/>
              </w:rPr>
              <w:t>1.</w:t>
            </w:r>
            <w:r>
              <w:rPr>
                <w:rFonts w:ascii="宋体" w:hAnsi="宋体" w:cs="宋体"/>
                <w:b/>
                <w:bCs/>
                <w:kern w:val="0"/>
                <w:sz w:val="18"/>
                <w:szCs w:val="18"/>
              </w:rPr>
              <w:t>废气污染防治措施</w:t>
            </w:r>
          </w:p>
          <w:p w:rsidR="00944167" w:rsidRDefault="008E2BED">
            <w:pPr>
              <w:widowControl/>
              <w:spacing w:line="360" w:lineRule="exact"/>
              <w:jc w:val="left"/>
              <w:rPr>
                <w:rFonts w:ascii="宋体" w:hAnsi="宋体" w:cs="宋体"/>
                <w:kern w:val="0"/>
                <w:sz w:val="18"/>
                <w:szCs w:val="18"/>
              </w:rPr>
            </w:pPr>
            <w:r>
              <w:rPr>
                <w:rFonts w:ascii="宋体" w:hAnsi="宋体" w:cs="宋体" w:hint="eastAsia"/>
                <w:kern w:val="0"/>
                <w:sz w:val="18"/>
                <w:szCs w:val="18"/>
              </w:rPr>
              <w:t>项目产生的废气主要有养殖场恶臭、饲料加工粉尘、沼气燃烧废气、柴油发电机废气及厨房油烟。恶臭治理措施包括控制饲养密度、加强舍内通风；科学调控饲粮，采用低蛋白食粮，在日粮中添加沙皂素等除臭剂；对舍内粪便和有机肥生产车间地面及时清扫；合理安排粪便处理时间，尽量安排在气温相对较低的无风日进行；厌氧发酵罐密闭；定期喷洒杀菌剂和杀虫剂；定期检查和疏通废水收集管道，确保废水不堵塞和沉积；进一步加强养殖场圈舍和废水处理区、粪便处理区边界的绿化措施；定期喷洒微生物除臭剂；以牛舍、有机肥生产车间及废水处理设施为边界，划定</w:t>
            </w:r>
            <w:r>
              <w:rPr>
                <w:rFonts w:ascii="宋体" w:hAnsi="宋体" w:cs="宋体" w:hint="eastAsia"/>
                <w:kern w:val="0"/>
                <w:sz w:val="18"/>
                <w:szCs w:val="18"/>
              </w:rPr>
              <w:t>100</w:t>
            </w:r>
            <w:r>
              <w:rPr>
                <w:rFonts w:ascii="宋体" w:hAnsi="宋体" w:cs="宋体" w:hint="eastAsia"/>
                <w:kern w:val="0"/>
                <w:sz w:val="18"/>
                <w:szCs w:val="18"/>
              </w:rPr>
              <w:t>m</w:t>
            </w:r>
            <w:r>
              <w:rPr>
                <w:rFonts w:ascii="宋体" w:hAnsi="宋体" w:cs="宋体" w:hint="eastAsia"/>
                <w:kern w:val="0"/>
                <w:sz w:val="18"/>
                <w:szCs w:val="18"/>
              </w:rPr>
              <w:t>卫生防护距离。饲料加工粉尘经过粉碎机自带的布袋式除尘器处理后达标排放。沼气属清洁能源，沼气燃烧废气可实现达标排放。备用发电机尾气经专用烟道引至屋外达标排放。厨房油烟经油烟净化设施处理后达标排放。</w:t>
            </w:r>
          </w:p>
          <w:p w:rsidR="00944167" w:rsidRDefault="008E2BED">
            <w:pPr>
              <w:widowControl/>
              <w:spacing w:line="360" w:lineRule="exact"/>
              <w:jc w:val="left"/>
              <w:rPr>
                <w:rFonts w:ascii="宋体" w:hAnsi="宋体" w:cs="宋体"/>
                <w:kern w:val="0"/>
                <w:sz w:val="18"/>
                <w:szCs w:val="18"/>
              </w:rPr>
            </w:pPr>
            <w:r>
              <w:rPr>
                <w:rFonts w:ascii="宋体" w:hAnsi="宋体" w:cs="宋体"/>
                <w:b/>
                <w:bCs/>
                <w:kern w:val="0"/>
                <w:sz w:val="18"/>
                <w:szCs w:val="18"/>
              </w:rPr>
              <w:t>2.</w:t>
            </w:r>
            <w:r>
              <w:rPr>
                <w:rFonts w:hint="eastAsia"/>
              </w:rPr>
              <w:t xml:space="preserve"> </w:t>
            </w:r>
            <w:r>
              <w:rPr>
                <w:rFonts w:ascii="宋体" w:hAnsi="宋体" w:cs="宋体" w:hint="eastAsia"/>
                <w:b/>
                <w:bCs/>
                <w:kern w:val="0"/>
                <w:sz w:val="18"/>
                <w:szCs w:val="18"/>
              </w:rPr>
              <w:t>废水排放及治理措施</w:t>
            </w:r>
          </w:p>
          <w:p w:rsidR="00944167" w:rsidRDefault="008E2BED">
            <w:pPr>
              <w:widowControl/>
              <w:spacing w:line="360" w:lineRule="exact"/>
              <w:jc w:val="left"/>
              <w:rPr>
                <w:rFonts w:ascii="宋体" w:hAnsi="宋体" w:cs="宋体"/>
                <w:kern w:val="0"/>
                <w:sz w:val="18"/>
                <w:szCs w:val="18"/>
              </w:rPr>
            </w:pPr>
            <w:r>
              <w:rPr>
                <w:rFonts w:ascii="宋体" w:hAnsi="宋体" w:cs="宋体" w:hint="eastAsia"/>
                <w:kern w:val="0"/>
                <w:sz w:val="18"/>
                <w:szCs w:val="18"/>
              </w:rPr>
              <w:t>项目产生的养殖废水和生活污水经中温厌氧发酵罐（</w:t>
            </w:r>
            <w:r>
              <w:rPr>
                <w:rFonts w:ascii="宋体" w:hAnsi="宋体" w:cs="宋体" w:hint="eastAsia"/>
                <w:kern w:val="0"/>
                <w:sz w:val="18"/>
                <w:szCs w:val="18"/>
              </w:rPr>
              <w:t>1200m</w:t>
            </w:r>
            <w:r>
              <w:rPr>
                <w:rFonts w:ascii="宋体" w:hAnsi="宋体" w:cs="宋体" w:hint="eastAsia"/>
                <w:kern w:val="0"/>
                <w:sz w:val="18"/>
                <w:szCs w:val="18"/>
                <w:vertAlign w:val="superscript"/>
              </w:rPr>
              <w:t>3</w:t>
            </w:r>
            <w:r>
              <w:rPr>
                <w:rFonts w:ascii="宋体" w:hAnsi="宋体" w:cs="宋体" w:hint="eastAsia"/>
                <w:kern w:val="0"/>
                <w:sz w:val="18"/>
                <w:szCs w:val="18"/>
              </w:rPr>
              <w:t>）发酵后，沼液暂存于沼液贮存池（</w:t>
            </w:r>
            <w:r>
              <w:rPr>
                <w:rFonts w:ascii="宋体" w:hAnsi="宋体" w:cs="宋体" w:hint="eastAsia"/>
                <w:kern w:val="0"/>
                <w:sz w:val="18"/>
                <w:szCs w:val="18"/>
              </w:rPr>
              <w:t>2</w:t>
            </w:r>
            <w:r>
              <w:rPr>
                <w:rFonts w:ascii="宋体" w:hAnsi="宋体" w:cs="宋体" w:hint="eastAsia"/>
                <w:kern w:val="0"/>
                <w:sz w:val="18"/>
                <w:szCs w:val="18"/>
              </w:rPr>
              <w:t>个，共</w:t>
            </w:r>
            <w:r>
              <w:rPr>
                <w:rFonts w:ascii="宋体" w:hAnsi="宋体" w:cs="宋体" w:hint="eastAsia"/>
                <w:kern w:val="0"/>
                <w:sz w:val="18"/>
                <w:szCs w:val="18"/>
              </w:rPr>
              <w:t>963m</w:t>
            </w:r>
            <w:r>
              <w:rPr>
                <w:rFonts w:ascii="宋体" w:hAnsi="宋体" w:cs="宋体" w:hint="eastAsia"/>
                <w:kern w:val="0"/>
                <w:sz w:val="18"/>
                <w:szCs w:val="18"/>
                <w:vertAlign w:val="superscript"/>
              </w:rPr>
              <w:t>3</w:t>
            </w:r>
            <w:r>
              <w:rPr>
                <w:rFonts w:ascii="宋体" w:hAnsi="宋体" w:cs="宋体" w:hint="eastAsia"/>
                <w:kern w:val="0"/>
                <w:sz w:val="18"/>
                <w:szCs w:val="18"/>
              </w:rPr>
              <w:t>），经管网输入三汇</w:t>
            </w:r>
            <w:proofErr w:type="gramStart"/>
            <w:r>
              <w:rPr>
                <w:rFonts w:ascii="宋体" w:hAnsi="宋体" w:cs="宋体" w:hint="eastAsia"/>
                <w:kern w:val="0"/>
                <w:sz w:val="18"/>
                <w:szCs w:val="18"/>
              </w:rPr>
              <w:t>镇长久村的</w:t>
            </w:r>
            <w:proofErr w:type="gramEnd"/>
            <w:r>
              <w:rPr>
                <w:rFonts w:ascii="宋体" w:hAnsi="宋体" w:cs="宋体" w:hint="eastAsia"/>
                <w:kern w:val="0"/>
                <w:sz w:val="18"/>
                <w:szCs w:val="18"/>
              </w:rPr>
              <w:t>田间草料种植区施肥，多余部分采取吸污车定期转运的方式，作农肥施用于平安乡平安村配套的饲料种植区，不外排。沼液贮存池加设雨棚，确保做到“防渗、防雨、防溢流</w:t>
            </w:r>
            <w:r>
              <w:rPr>
                <w:rFonts w:ascii="宋体" w:hAnsi="宋体" w:cs="宋体" w:hint="eastAsia"/>
                <w:kern w:val="0"/>
                <w:sz w:val="18"/>
                <w:szCs w:val="18"/>
              </w:rPr>
              <w:t>”三防措施。产生的沼气经脱水脱硫后由储气罐（</w:t>
            </w:r>
            <w:r>
              <w:rPr>
                <w:rFonts w:ascii="宋体" w:hAnsi="宋体" w:cs="宋体" w:hint="eastAsia"/>
                <w:kern w:val="0"/>
                <w:sz w:val="18"/>
                <w:szCs w:val="18"/>
              </w:rPr>
              <w:t>600m</w:t>
            </w:r>
            <w:r>
              <w:rPr>
                <w:rFonts w:ascii="宋体" w:hAnsi="宋体" w:cs="宋体" w:hint="eastAsia"/>
                <w:kern w:val="0"/>
                <w:sz w:val="18"/>
                <w:szCs w:val="18"/>
                <w:vertAlign w:val="superscript"/>
              </w:rPr>
              <w:t>3</w:t>
            </w:r>
            <w:r>
              <w:rPr>
                <w:rFonts w:ascii="宋体" w:hAnsi="宋体" w:cs="宋体" w:hint="eastAsia"/>
                <w:kern w:val="0"/>
                <w:sz w:val="18"/>
                <w:szCs w:val="18"/>
              </w:rPr>
              <w:t>）收集，用作沼气发电。</w:t>
            </w:r>
          </w:p>
          <w:p w:rsidR="00944167" w:rsidRDefault="008E2BED">
            <w:pPr>
              <w:widowControl/>
              <w:spacing w:line="360" w:lineRule="exact"/>
              <w:jc w:val="left"/>
              <w:rPr>
                <w:rFonts w:ascii="宋体" w:hAnsi="宋体" w:cs="宋体"/>
                <w:b/>
                <w:bCs/>
                <w:kern w:val="0"/>
                <w:sz w:val="18"/>
                <w:szCs w:val="18"/>
              </w:rPr>
            </w:pPr>
            <w:r>
              <w:rPr>
                <w:rFonts w:ascii="宋体" w:hAnsi="宋体" w:cs="宋体"/>
                <w:b/>
                <w:bCs/>
                <w:kern w:val="0"/>
                <w:sz w:val="18"/>
                <w:szCs w:val="18"/>
              </w:rPr>
              <w:lastRenderedPageBreak/>
              <w:t>3.</w:t>
            </w:r>
            <w:r>
              <w:rPr>
                <w:rFonts w:ascii="宋体" w:hAnsi="宋体" w:cs="宋体"/>
                <w:b/>
                <w:bCs/>
                <w:kern w:val="0"/>
                <w:sz w:val="18"/>
                <w:szCs w:val="18"/>
              </w:rPr>
              <w:t>固体废弃物处置措施</w:t>
            </w:r>
          </w:p>
          <w:p w:rsidR="00944167" w:rsidRDefault="008E2BED">
            <w:pPr>
              <w:widowControl/>
              <w:spacing w:line="36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）粪便：本项目采用干清粪工艺，牛粪在有机肥生产车间通过好氧发酵无害化处理后制成符合《粪便无害化卫生标准》（</w:t>
            </w:r>
            <w:r>
              <w:rPr>
                <w:rFonts w:ascii="宋体" w:hAnsi="宋体" w:cs="宋体" w:hint="eastAsia"/>
                <w:kern w:val="0"/>
                <w:sz w:val="18"/>
                <w:szCs w:val="18"/>
              </w:rPr>
              <w:t>GB7959</w:t>
            </w:r>
            <w:r>
              <w:rPr>
                <w:rFonts w:ascii="宋体" w:hAnsi="宋体" w:cs="宋体" w:hint="eastAsia"/>
                <w:kern w:val="0"/>
                <w:sz w:val="18"/>
                <w:szCs w:val="18"/>
              </w:rPr>
              <w:t>－</w:t>
            </w:r>
            <w:r>
              <w:rPr>
                <w:rFonts w:ascii="宋体" w:hAnsi="宋体" w:cs="宋体" w:hint="eastAsia"/>
                <w:kern w:val="0"/>
                <w:sz w:val="18"/>
                <w:szCs w:val="18"/>
              </w:rPr>
              <w:t>87</w:t>
            </w:r>
            <w:r>
              <w:rPr>
                <w:rFonts w:ascii="宋体" w:hAnsi="宋体" w:cs="宋体" w:hint="eastAsia"/>
                <w:kern w:val="0"/>
                <w:sz w:val="18"/>
                <w:szCs w:val="18"/>
              </w:rPr>
              <w:t>）的有机肥，还田施用。</w:t>
            </w:r>
          </w:p>
          <w:p w:rsidR="00944167" w:rsidRDefault="008E2BED">
            <w:pPr>
              <w:widowControl/>
              <w:spacing w:line="360" w:lineRule="exact"/>
              <w:jc w:val="left"/>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）病死牛及母牛分娩废物：采用化制法，病死牛及分娩物经动物尸体</w:t>
            </w:r>
            <w:proofErr w:type="gramStart"/>
            <w:r>
              <w:rPr>
                <w:rFonts w:ascii="宋体" w:hAnsi="宋体" w:cs="宋体" w:hint="eastAsia"/>
                <w:kern w:val="0"/>
                <w:sz w:val="18"/>
                <w:szCs w:val="18"/>
              </w:rPr>
              <w:t>化制机无害</w:t>
            </w:r>
            <w:proofErr w:type="gramEnd"/>
            <w:r>
              <w:rPr>
                <w:rFonts w:ascii="宋体" w:hAnsi="宋体" w:cs="宋体" w:hint="eastAsia"/>
                <w:kern w:val="0"/>
                <w:sz w:val="18"/>
                <w:szCs w:val="18"/>
              </w:rPr>
              <w:t>化处理后，其残渣运至有机肥生产车间与牛粪一起进行好氧发酵处理制成有机肥（患有炭疽等芽孢杆菌类疫病以及牛海绵状脑病、痒病的除外，应交由专业部门进行处置）。</w:t>
            </w:r>
          </w:p>
          <w:p w:rsidR="00944167" w:rsidRDefault="008E2BED">
            <w:pPr>
              <w:widowControl/>
              <w:spacing w:line="360" w:lineRule="exact"/>
              <w:jc w:val="left"/>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）兽医室医疗废物：属于危险废物，</w:t>
            </w:r>
            <w:r>
              <w:rPr>
                <w:rFonts w:ascii="宋体" w:hAnsi="宋体" w:cs="宋体" w:hint="eastAsia"/>
                <w:kern w:val="0"/>
                <w:sz w:val="18"/>
                <w:szCs w:val="18"/>
              </w:rPr>
              <w:t>经分类收集后，暂存于专用</w:t>
            </w:r>
            <w:proofErr w:type="gramStart"/>
            <w:r>
              <w:rPr>
                <w:rFonts w:ascii="宋体" w:hAnsi="宋体" w:cs="宋体" w:hint="eastAsia"/>
                <w:kern w:val="0"/>
                <w:sz w:val="18"/>
                <w:szCs w:val="18"/>
              </w:rPr>
              <w:t>的危废暂存</w:t>
            </w:r>
            <w:proofErr w:type="gramEnd"/>
            <w:r>
              <w:rPr>
                <w:rFonts w:ascii="宋体" w:hAnsi="宋体" w:cs="宋体" w:hint="eastAsia"/>
                <w:kern w:val="0"/>
                <w:sz w:val="18"/>
                <w:szCs w:val="18"/>
              </w:rPr>
              <w:t>间，交由有资质的单位进行安全处置。</w:t>
            </w:r>
          </w:p>
          <w:p w:rsidR="00944167" w:rsidRDefault="008E2BED">
            <w:pPr>
              <w:widowControl/>
              <w:spacing w:line="360" w:lineRule="exact"/>
              <w:jc w:val="left"/>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）沼气废脱硫剂：废脱硫剂全部由供货厂家回收再生利用。</w:t>
            </w:r>
          </w:p>
          <w:p w:rsidR="00944167" w:rsidRDefault="008E2BED">
            <w:pPr>
              <w:widowControl/>
              <w:spacing w:line="360" w:lineRule="exact"/>
              <w:jc w:val="left"/>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）废柴油桶：定期交由有</w:t>
            </w:r>
            <w:proofErr w:type="gramStart"/>
            <w:r>
              <w:rPr>
                <w:rFonts w:ascii="宋体" w:hAnsi="宋体" w:cs="宋体" w:hint="eastAsia"/>
                <w:kern w:val="0"/>
                <w:sz w:val="18"/>
                <w:szCs w:val="18"/>
              </w:rPr>
              <w:t>危废处理</w:t>
            </w:r>
            <w:proofErr w:type="gramEnd"/>
            <w:r>
              <w:rPr>
                <w:rFonts w:ascii="宋体" w:hAnsi="宋体" w:cs="宋体" w:hint="eastAsia"/>
                <w:kern w:val="0"/>
                <w:sz w:val="18"/>
                <w:szCs w:val="18"/>
              </w:rPr>
              <w:t>资质的单位进行安全处置。</w:t>
            </w:r>
          </w:p>
          <w:p w:rsidR="00944167" w:rsidRDefault="008E2BED">
            <w:pPr>
              <w:widowControl/>
              <w:spacing w:line="360" w:lineRule="exact"/>
              <w:jc w:val="left"/>
              <w:rPr>
                <w:sz w:val="18"/>
                <w:szCs w:val="18"/>
              </w:rPr>
            </w:pPr>
            <w:r>
              <w:rPr>
                <w:rFonts w:ascii="宋体" w:hAnsi="宋体" w:cs="宋体" w:hint="eastAsia"/>
                <w:kern w:val="0"/>
                <w:sz w:val="18"/>
                <w:szCs w:val="18"/>
              </w:rPr>
              <w:t>6</w:t>
            </w:r>
            <w:r>
              <w:rPr>
                <w:rFonts w:ascii="宋体" w:hAnsi="宋体" w:cs="宋体" w:hint="eastAsia"/>
                <w:kern w:val="0"/>
                <w:sz w:val="18"/>
                <w:szCs w:val="18"/>
              </w:rPr>
              <w:t>）生活垃圾：由当地环卫部门定期清运后统一处置。</w:t>
            </w:r>
          </w:p>
          <w:p w:rsidR="00944167" w:rsidRDefault="008E2BED">
            <w:pPr>
              <w:widowControl/>
              <w:spacing w:line="360" w:lineRule="exact"/>
              <w:jc w:val="left"/>
              <w:rPr>
                <w:rFonts w:ascii="宋体" w:hAnsi="宋体" w:cs="宋体"/>
                <w:kern w:val="0"/>
                <w:sz w:val="18"/>
                <w:szCs w:val="18"/>
              </w:rPr>
            </w:pPr>
            <w:r>
              <w:rPr>
                <w:rFonts w:ascii="宋体" w:hAnsi="宋体" w:cs="宋体"/>
                <w:b/>
                <w:bCs/>
                <w:kern w:val="0"/>
                <w:sz w:val="18"/>
                <w:szCs w:val="18"/>
              </w:rPr>
              <w:t>4.</w:t>
            </w:r>
            <w:r>
              <w:rPr>
                <w:rFonts w:ascii="宋体" w:hAnsi="宋体" w:cs="宋体"/>
                <w:b/>
                <w:bCs/>
                <w:kern w:val="0"/>
                <w:sz w:val="18"/>
                <w:szCs w:val="18"/>
              </w:rPr>
              <w:t>噪声排放及治理措施</w:t>
            </w:r>
          </w:p>
          <w:p w:rsidR="00944167" w:rsidRDefault="008E2BED">
            <w:pPr>
              <w:widowControl/>
              <w:spacing w:line="360" w:lineRule="exact"/>
              <w:jc w:val="left"/>
              <w:rPr>
                <w:rFonts w:ascii="宋体" w:hAnsi="宋体" w:cs="宋体"/>
                <w:kern w:val="0"/>
                <w:sz w:val="18"/>
                <w:szCs w:val="18"/>
              </w:rPr>
            </w:pPr>
            <w:r>
              <w:rPr>
                <w:sz w:val="18"/>
                <w:szCs w:val="18"/>
              </w:rPr>
              <w:t>项目选用低噪声设备、合理布局、对高噪声设备采用防震垫、消音器和墙体隔声等降噪措施，加强设备的使用和日常维护管理，维持设备处于良好的运行状态，确保厂界噪声达标。</w:t>
            </w:r>
            <w:r>
              <w:rPr>
                <w:rFonts w:ascii="宋体" w:hAnsi="宋体" w:cs="宋体"/>
                <w:kern w:val="0"/>
                <w:sz w:val="18"/>
                <w:szCs w:val="18"/>
              </w:rPr>
              <w:t xml:space="preserve"> </w:t>
            </w:r>
          </w:p>
          <w:p w:rsidR="00944167" w:rsidRDefault="008E2BED">
            <w:pPr>
              <w:widowControl/>
              <w:spacing w:line="360" w:lineRule="exact"/>
              <w:jc w:val="left"/>
              <w:rPr>
                <w:rFonts w:ascii="宋体" w:hAnsi="宋体" w:cs="宋体"/>
                <w:kern w:val="0"/>
                <w:sz w:val="18"/>
                <w:szCs w:val="18"/>
              </w:rPr>
            </w:pPr>
            <w:r>
              <w:rPr>
                <w:rFonts w:ascii="宋体" w:hAnsi="宋体" w:cs="宋体"/>
                <w:b/>
                <w:bCs/>
                <w:kern w:val="0"/>
                <w:sz w:val="18"/>
                <w:szCs w:val="18"/>
              </w:rPr>
              <w:t>5.</w:t>
            </w:r>
            <w:r>
              <w:rPr>
                <w:rFonts w:ascii="宋体" w:hAnsi="宋体" w:cs="宋体"/>
                <w:b/>
                <w:bCs/>
                <w:kern w:val="0"/>
                <w:sz w:val="18"/>
                <w:szCs w:val="18"/>
              </w:rPr>
              <w:t>地下水污染防治措施</w:t>
            </w:r>
          </w:p>
          <w:p w:rsidR="00944167" w:rsidRDefault="008E2BED">
            <w:pPr>
              <w:widowControl/>
              <w:spacing w:line="360" w:lineRule="exact"/>
              <w:jc w:val="left"/>
              <w:rPr>
                <w:rFonts w:ascii="宋体" w:hAnsi="宋体" w:cs="宋体"/>
                <w:kern w:val="0"/>
                <w:sz w:val="18"/>
                <w:szCs w:val="18"/>
              </w:rPr>
            </w:pPr>
            <w:r>
              <w:rPr>
                <w:rFonts w:ascii="宋体" w:hAnsi="宋体" w:cs="宋体"/>
                <w:kern w:val="0"/>
                <w:sz w:val="18"/>
                <w:szCs w:val="18"/>
              </w:rPr>
              <w:t>项目地下水污染防治措施</w:t>
            </w:r>
            <w:r>
              <w:rPr>
                <w:sz w:val="18"/>
                <w:szCs w:val="18"/>
              </w:rPr>
              <w:t>坚持</w:t>
            </w:r>
            <w:r>
              <w:rPr>
                <w:sz w:val="18"/>
                <w:szCs w:val="18"/>
              </w:rPr>
              <w:t>“</w:t>
            </w:r>
            <w:r>
              <w:rPr>
                <w:sz w:val="18"/>
                <w:szCs w:val="18"/>
              </w:rPr>
              <w:t>源头控制、末端防治、污染监控、应急响应</w:t>
            </w:r>
            <w:r>
              <w:rPr>
                <w:sz w:val="18"/>
                <w:szCs w:val="18"/>
              </w:rPr>
              <w:t>”</w:t>
            </w:r>
            <w:r>
              <w:rPr>
                <w:sz w:val="18"/>
                <w:szCs w:val="18"/>
              </w:rPr>
              <w:t>的原则，对可能污染地下水的区域进行防渗处理，</w:t>
            </w:r>
            <w:proofErr w:type="gramStart"/>
            <w:r>
              <w:rPr>
                <w:sz w:val="18"/>
                <w:szCs w:val="18"/>
              </w:rPr>
              <w:t>将</w:t>
            </w:r>
            <w:r>
              <w:rPr>
                <w:rFonts w:hint="eastAsia"/>
                <w:sz w:val="18"/>
                <w:szCs w:val="18"/>
              </w:rPr>
              <w:t>危废暂存</w:t>
            </w:r>
            <w:proofErr w:type="gramEnd"/>
            <w:r>
              <w:rPr>
                <w:rFonts w:hint="eastAsia"/>
                <w:sz w:val="18"/>
                <w:szCs w:val="18"/>
              </w:rPr>
              <w:t>间、污水收集处理池（罐）体及污水收集管道、粪便发酵槽、柴油发电机房及储油间设</w:t>
            </w:r>
            <w:r>
              <w:rPr>
                <w:sz w:val="18"/>
                <w:szCs w:val="18"/>
              </w:rPr>
              <w:t>为重点防渗区，</w:t>
            </w:r>
            <w:r>
              <w:rPr>
                <w:rFonts w:hint="eastAsia"/>
                <w:sz w:val="18"/>
                <w:szCs w:val="18"/>
              </w:rPr>
              <w:t>将有机肥生产车间、有机肥包装车间及仓库、牛舍、消毒室、饲料储存车间、饲料加工房设为一般防渗区，</w:t>
            </w:r>
            <w:r>
              <w:rPr>
                <w:sz w:val="18"/>
                <w:szCs w:val="18"/>
              </w:rPr>
              <w:t>采取相应防渗措施，有效杜绝项目对区域地下水的污染。</w:t>
            </w:r>
          </w:p>
          <w:p w:rsidR="00944167" w:rsidRDefault="008E2BED">
            <w:pPr>
              <w:widowControl/>
              <w:spacing w:line="360" w:lineRule="exact"/>
              <w:jc w:val="left"/>
              <w:rPr>
                <w:rFonts w:ascii="宋体" w:hAnsi="宋体" w:cs="宋体"/>
                <w:kern w:val="0"/>
                <w:sz w:val="18"/>
                <w:szCs w:val="18"/>
              </w:rPr>
            </w:pPr>
            <w:r>
              <w:rPr>
                <w:rFonts w:ascii="宋体" w:hAnsi="宋体" w:cs="宋体" w:hint="eastAsia"/>
                <w:b/>
                <w:bCs/>
                <w:kern w:val="0"/>
                <w:sz w:val="18"/>
                <w:szCs w:val="18"/>
              </w:rPr>
              <w:t>二</w:t>
            </w:r>
            <w:r>
              <w:rPr>
                <w:rFonts w:ascii="宋体" w:hAnsi="宋体" w:cs="宋体"/>
                <w:b/>
                <w:bCs/>
                <w:kern w:val="0"/>
                <w:sz w:val="18"/>
                <w:szCs w:val="18"/>
              </w:rPr>
              <w:t>、环境风险</w:t>
            </w:r>
          </w:p>
          <w:p w:rsidR="00944167" w:rsidRDefault="008E2BED">
            <w:pPr>
              <w:widowControl/>
              <w:spacing w:line="360" w:lineRule="exact"/>
              <w:jc w:val="left"/>
              <w:rPr>
                <w:rFonts w:ascii="宋体" w:hAnsi="宋体" w:cs="宋体"/>
                <w:kern w:val="0"/>
                <w:sz w:val="18"/>
                <w:szCs w:val="18"/>
              </w:rPr>
            </w:pPr>
            <w:r>
              <w:rPr>
                <w:rFonts w:ascii="宋体" w:hAnsi="宋体" w:cs="宋体" w:hint="eastAsia"/>
                <w:kern w:val="0"/>
                <w:sz w:val="18"/>
                <w:szCs w:val="18"/>
              </w:rPr>
              <w:lastRenderedPageBreak/>
              <w:t>项目主要环境风险为柴油、过氧乙酸泄漏污染地下水、地表水，沼气工程系统故障导致废水直排或不达标农灌可能污染地下水、地表水，沼气泄漏、燃烧、爆炸造成区域大气污染和消防废水漫流对地表水的污染。项目采取分区防渗措施，设置沼气泄漏自动检测报警系统，配置足量的灭火器等消防器材及泄漏应急处理设备，将沼液贮存</w:t>
            </w:r>
            <w:proofErr w:type="gramStart"/>
            <w:r>
              <w:rPr>
                <w:rFonts w:ascii="宋体" w:hAnsi="宋体" w:cs="宋体" w:hint="eastAsia"/>
                <w:kern w:val="0"/>
                <w:sz w:val="18"/>
                <w:szCs w:val="18"/>
              </w:rPr>
              <w:t>池作为</w:t>
            </w:r>
            <w:proofErr w:type="gramEnd"/>
            <w:r>
              <w:rPr>
                <w:rFonts w:ascii="宋体" w:hAnsi="宋体" w:cs="宋体" w:hint="eastAsia"/>
                <w:kern w:val="0"/>
                <w:sz w:val="18"/>
                <w:szCs w:val="18"/>
              </w:rPr>
              <w:t>消防废水临时储存池或废水处理系统发生故障时的事故应急池，一旦发生火灾或废水处理系统发生故障，产生的消防废水或养殖场废水必须进入沼液贮存池暂存，不得随意排放，最终经沼气发酵罐处理。加强对项目消毒剂的储存和管理，仓储</w:t>
            </w:r>
            <w:r>
              <w:rPr>
                <w:rFonts w:ascii="宋体" w:hAnsi="宋体" w:cs="宋体" w:hint="eastAsia"/>
                <w:kern w:val="0"/>
                <w:sz w:val="18"/>
                <w:szCs w:val="18"/>
              </w:rPr>
              <w:t>区严禁火种。综上，</w:t>
            </w:r>
            <w:r>
              <w:rPr>
                <w:rFonts w:ascii="宋体" w:hAnsi="宋体" w:cs="宋体"/>
                <w:kern w:val="0"/>
                <w:sz w:val="18"/>
                <w:szCs w:val="18"/>
              </w:rPr>
              <w:t>项目按照环境风险事故防范要求，全面落实各项环境风险防范措施，建立完善应急预案，定期排查环境隐患，加强应急演练，严防环境风险事故发生，环境</w:t>
            </w:r>
            <w:proofErr w:type="gramStart"/>
            <w:r>
              <w:rPr>
                <w:rFonts w:ascii="宋体" w:hAnsi="宋体" w:cs="宋体"/>
                <w:kern w:val="0"/>
                <w:sz w:val="18"/>
                <w:szCs w:val="18"/>
              </w:rPr>
              <w:t>风险属可接受</w:t>
            </w:r>
            <w:proofErr w:type="gramEnd"/>
            <w:r>
              <w:rPr>
                <w:rFonts w:ascii="宋体" w:hAnsi="宋体" w:cs="宋体"/>
                <w:kern w:val="0"/>
                <w:sz w:val="18"/>
                <w:szCs w:val="18"/>
              </w:rPr>
              <w:t>水平。</w:t>
            </w:r>
          </w:p>
          <w:p w:rsidR="00944167" w:rsidRDefault="008E2BED">
            <w:pPr>
              <w:widowControl/>
              <w:spacing w:line="360" w:lineRule="exact"/>
              <w:jc w:val="left"/>
              <w:rPr>
                <w:rFonts w:ascii="宋体" w:hAnsi="宋体" w:cs="宋体"/>
                <w:kern w:val="0"/>
                <w:sz w:val="18"/>
                <w:szCs w:val="18"/>
              </w:rPr>
            </w:pPr>
            <w:r>
              <w:rPr>
                <w:rFonts w:ascii="宋体" w:hAnsi="宋体" w:cs="宋体" w:hint="eastAsia"/>
                <w:b/>
                <w:bCs/>
                <w:kern w:val="0"/>
                <w:sz w:val="18"/>
                <w:szCs w:val="18"/>
              </w:rPr>
              <w:t>三</w:t>
            </w:r>
            <w:r>
              <w:rPr>
                <w:rFonts w:ascii="宋体" w:hAnsi="宋体" w:cs="宋体"/>
                <w:b/>
                <w:bCs/>
                <w:kern w:val="0"/>
                <w:sz w:val="18"/>
                <w:szCs w:val="18"/>
              </w:rPr>
              <w:t>、公众参与情况</w:t>
            </w:r>
          </w:p>
          <w:p w:rsidR="00944167" w:rsidRDefault="008E2BED">
            <w:pPr>
              <w:widowControl/>
              <w:spacing w:line="360" w:lineRule="exact"/>
              <w:jc w:val="left"/>
              <w:rPr>
                <w:rFonts w:ascii="宋体" w:hAnsi="宋体" w:cs="宋体"/>
                <w:kern w:val="0"/>
                <w:sz w:val="18"/>
                <w:szCs w:val="18"/>
              </w:rPr>
            </w:pPr>
            <w:r>
              <w:rPr>
                <w:rFonts w:ascii="宋体" w:hAnsi="宋体" w:cs="宋体"/>
                <w:kern w:val="0"/>
                <w:sz w:val="18"/>
                <w:szCs w:val="18"/>
              </w:rPr>
              <w:t>项目进行两次网上公示</w:t>
            </w:r>
            <w:r>
              <w:rPr>
                <w:rFonts w:ascii="宋体" w:hAnsi="宋体" w:cs="宋体" w:hint="eastAsia"/>
                <w:kern w:val="0"/>
                <w:sz w:val="18"/>
                <w:szCs w:val="18"/>
              </w:rPr>
              <w:t>、两次报纸公示及现场张贴公示</w:t>
            </w:r>
            <w:r>
              <w:rPr>
                <w:rFonts w:ascii="宋体" w:hAnsi="宋体" w:cs="宋体"/>
                <w:kern w:val="0"/>
                <w:sz w:val="18"/>
                <w:szCs w:val="18"/>
              </w:rPr>
              <w:t>，</w:t>
            </w:r>
            <w:r>
              <w:rPr>
                <w:rFonts w:ascii="宋体" w:hAnsi="宋体" w:cs="宋体" w:hint="eastAsia"/>
                <w:kern w:val="0"/>
                <w:sz w:val="18"/>
                <w:szCs w:val="18"/>
              </w:rPr>
              <w:t>均</w:t>
            </w:r>
            <w:r>
              <w:rPr>
                <w:rFonts w:ascii="宋体" w:hAnsi="宋体" w:cs="宋体"/>
                <w:kern w:val="0"/>
                <w:sz w:val="18"/>
                <w:szCs w:val="18"/>
              </w:rPr>
              <w:t>未收到反对意见。统计结果表明，无反对意见。</w:t>
            </w:r>
          </w:p>
          <w:p w:rsidR="00944167" w:rsidRDefault="008E2BED">
            <w:pPr>
              <w:widowControl/>
              <w:spacing w:line="360" w:lineRule="exact"/>
              <w:jc w:val="left"/>
              <w:rPr>
                <w:rFonts w:ascii="宋体" w:hAnsi="宋体" w:cs="宋体"/>
                <w:kern w:val="0"/>
                <w:sz w:val="18"/>
                <w:szCs w:val="18"/>
              </w:rPr>
            </w:pPr>
            <w:r>
              <w:rPr>
                <w:rFonts w:ascii="宋体" w:hAnsi="宋体" w:cs="宋体" w:hint="eastAsia"/>
                <w:b/>
                <w:bCs/>
                <w:kern w:val="0"/>
                <w:sz w:val="18"/>
                <w:szCs w:val="18"/>
              </w:rPr>
              <w:t>四</w:t>
            </w:r>
            <w:r>
              <w:rPr>
                <w:rFonts w:ascii="宋体" w:hAnsi="宋体" w:cs="宋体"/>
                <w:b/>
                <w:bCs/>
                <w:kern w:val="0"/>
                <w:sz w:val="18"/>
                <w:szCs w:val="18"/>
              </w:rPr>
              <w:t>、其他部门意见</w:t>
            </w:r>
          </w:p>
          <w:p w:rsidR="00944167" w:rsidRDefault="008E2BED">
            <w:pPr>
              <w:widowControl/>
              <w:spacing w:line="360" w:lineRule="exact"/>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渠县发展和</w:t>
            </w:r>
            <w:proofErr w:type="gramStart"/>
            <w:r>
              <w:rPr>
                <w:rFonts w:ascii="宋体" w:hAnsi="宋体" w:cs="宋体" w:hint="eastAsia"/>
                <w:kern w:val="0"/>
                <w:sz w:val="18"/>
                <w:szCs w:val="18"/>
              </w:rPr>
              <w:t>改革局</w:t>
            </w:r>
            <w:proofErr w:type="gramEnd"/>
            <w:r>
              <w:rPr>
                <w:rFonts w:ascii="宋体" w:hAnsi="宋体" w:cs="宋体" w:hint="eastAsia"/>
                <w:kern w:val="0"/>
                <w:sz w:val="18"/>
                <w:szCs w:val="18"/>
              </w:rPr>
              <w:t>《企业投资项目备案通知书》（备案号：川投资备</w:t>
            </w:r>
            <w:r>
              <w:rPr>
                <w:rFonts w:ascii="宋体" w:hAnsi="宋体" w:cs="宋体" w:hint="eastAsia"/>
                <w:kern w:val="0"/>
                <w:sz w:val="18"/>
                <w:szCs w:val="18"/>
              </w:rPr>
              <w:t>[51172516082401]0011</w:t>
            </w:r>
            <w:r>
              <w:rPr>
                <w:rFonts w:ascii="宋体" w:hAnsi="宋体" w:cs="宋体" w:hint="eastAsia"/>
                <w:kern w:val="0"/>
                <w:sz w:val="18"/>
                <w:szCs w:val="18"/>
              </w:rPr>
              <w:t>号）</w:t>
            </w:r>
            <w:r>
              <w:rPr>
                <w:rFonts w:ascii="宋体" w:hAnsi="宋体" w:cs="宋体"/>
                <w:kern w:val="0"/>
                <w:sz w:val="18"/>
                <w:szCs w:val="18"/>
              </w:rPr>
              <w:t>；</w:t>
            </w:r>
          </w:p>
          <w:p w:rsidR="00944167" w:rsidRDefault="008E2BED">
            <w:pPr>
              <w:widowControl/>
              <w:spacing w:line="360" w:lineRule="exact"/>
              <w:jc w:val="left"/>
              <w:rPr>
                <w:rFonts w:ascii="宋体" w:hAnsi="宋体" w:cs="宋体"/>
                <w:kern w:val="0"/>
                <w:sz w:val="18"/>
                <w:szCs w:val="18"/>
              </w:rPr>
            </w:pPr>
            <w:r>
              <w:rPr>
                <w:rFonts w:ascii="宋体" w:hAnsi="宋体" w:cs="宋体"/>
                <w:kern w:val="0"/>
                <w:sz w:val="18"/>
                <w:szCs w:val="18"/>
              </w:rPr>
              <w:t>2.</w:t>
            </w:r>
            <w:r>
              <w:rPr>
                <w:rFonts w:hint="eastAsia"/>
              </w:rPr>
              <w:t xml:space="preserve"> </w:t>
            </w:r>
            <w:r>
              <w:rPr>
                <w:rFonts w:ascii="宋体" w:hAnsi="宋体" w:cs="宋体" w:hint="eastAsia"/>
                <w:kern w:val="0"/>
                <w:sz w:val="18"/>
                <w:szCs w:val="18"/>
              </w:rPr>
              <w:t>《设施农业用地备案表》（渠国土设备</w:t>
            </w:r>
            <w:r>
              <w:rPr>
                <w:rFonts w:ascii="宋体" w:hAnsi="宋体" w:cs="宋体" w:hint="eastAsia"/>
                <w:kern w:val="0"/>
                <w:sz w:val="18"/>
                <w:szCs w:val="18"/>
              </w:rPr>
              <w:t>[2016]</w:t>
            </w:r>
            <w:r>
              <w:rPr>
                <w:rFonts w:ascii="宋体" w:hAnsi="宋体" w:cs="宋体" w:hint="eastAsia"/>
                <w:kern w:val="0"/>
                <w:sz w:val="18"/>
                <w:szCs w:val="18"/>
              </w:rPr>
              <w:t>第</w:t>
            </w:r>
            <w:r>
              <w:rPr>
                <w:rFonts w:ascii="宋体" w:hAnsi="宋体" w:cs="宋体" w:hint="eastAsia"/>
                <w:kern w:val="0"/>
                <w:sz w:val="18"/>
                <w:szCs w:val="18"/>
              </w:rPr>
              <w:t>06</w:t>
            </w:r>
            <w:r>
              <w:rPr>
                <w:rFonts w:ascii="宋体" w:hAnsi="宋体" w:cs="宋体" w:hint="eastAsia"/>
                <w:kern w:val="0"/>
                <w:sz w:val="18"/>
                <w:szCs w:val="18"/>
              </w:rPr>
              <w:t>号）</w:t>
            </w:r>
            <w:r>
              <w:rPr>
                <w:rFonts w:ascii="宋体" w:hAnsi="宋体" w:cs="宋体"/>
                <w:kern w:val="0"/>
                <w:sz w:val="18"/>
                <w:szCs w:val="18"/>
              </w:rPr>
              <w:t>；</w:t>
            </w:r>
          </w:p>
          <w:p w:rsidR="00944167" w:rsidRDefault="008E2BED">
            <w:pPr>
              <w:widowControl/>
              <w:spacing w:line="360" w:lineRule="exact"/>
              <w:jc w:val="left"/>
              <w:rPr>
                <w:rFonts w:ascii="Times New Roman" w:eastAsia="宋体" w:hAnsi="Times New Roman" w:cs="Times New Roman"/>
                <w:b/>
                <w:bCs/>
                <w:color w:val="333333"/>
                <w:szCs w:val="21"/>
              </w:rPr>
            </w:pPr>
            <w:r>
              <w:rPr>
                <w:rFonts w:ascii="宋体" w:hAnsi="宋体" w:cs="宋体" w:hint="eastAsia"/>
                <w:kern w:val="0"/>
                <w:sz w:val="18"/>
                <w:szCs w:val="18"/>
              </w:rPr>
              <w:t>3</w:t>
            </w:r>
            <w:r>
              <w:rPr>
                <w:rFonts w:ascii="宋体" w:hAnsi="宋体" w:cs="宋体"/>
                <w:kern w:val="0"/>
                <w:sz w:val="18"/>
                <w:szCs w:val="18"/>
              </w:rPr>
              <w:t>.</w:t>
            </w:r>
            <w:r>
              <w:rPr>
                <w:rFonts w:hint="eastAsia"/>
              </w:rPr>
              <w:t xml:space="preserve"> </w:t>
            </w:r>
            <w:r>
              <w:rPr>
                <w:rFonts w:ascii="宋体" w:hAnsi="宋体" w:cs="宋体" w:hint="eastAsia"/>
                <w:kern w:val="0"/>
                <w:sz w:val="18"/>
                <w:szCs w:val="18"/>
              </w:rPr>
              <w:t>渠县三汇镇人民政府出具</w:t>
            </w:r>
            <w:r>
              <w:rPr>
                <w:rFonts w:ascii="宋体" w:hAnsi="宋体" w:cs="宋体" w:hint="eastAsia"/>
                <w:kern w:val="0"/>
                <w:sz w:val="18"/>
                <w:szCs w:val="18"/>
              </w:rPr>
              <w:t>的本项目不在政府划定的禁养区范围内的证明。</w:t>
            </w:r>
          </w:p>
        </w:tc>
      </w:tr>
    </w:tbl>
    <w:p w:rsidR="00944167" w:rsidRDefault="00944167">
      <w:pPr>
        <w:ind w:firstLineChars="200" w:firstLine="560"/>
        <w:rPr>
          <w:rFonts w:ascii="Times New Roman" w:eastAsia="仿宋_GB2312" w:hAnsi="Times New Roman" w:cs="Times New Roman"/>
          <w:color w:val="333333"/>
          <w:sz w:val="28"/>
          <w:szCs w:val="28"/>
        </w:rPr>
      </w:pPr>
    </w:p>
    <w:sectPr w:rsidR="00944167">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BED" w:rsidRDefault="008E2BED" w:rsidP="00AB3098">
      <w:r>
        <w:separator/>
      </w:r>
    </w:p>
  </w:endnote>
  <w:endnote w:type="continuationSeparator" w:id="0">
    <w:p w:rsidR="008E2BED" w:rsidRDefault="008E2BED" w:rsidP="00AB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98" w:rsidRDefault="00AB30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98" w:rsidRDefault="00AB309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98" w:rsidRDefault="00AB30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BED" w:rsidRDefault="008E2BED" w:rsidP="00AB3098">
      <w:r>
        <w:separator/>
      </w:r>
    </w:p>
  </w:footnote>
  <w:footnote w:type="continuationSeparator" w:id="0">
    <w:p w:rsidR="008E2BED" w:rsidRDefault="008E2BED" w:rsidP="00AB3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98" w:rsidRDefault="00AB309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98" w:rsidRDefault="00AB3098" w:rsidP="00AB3098">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98" w:rsidRDefault="00AB30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54735"/>
    <w:rsid w:val="003424B8"/>
    <w:rsid w:val="008E2BED"/>
    <w:rsid w:val="00944167"/>
    <w:rsid w:val="00AB3098"/>
    <w:rsid w:val="03F1298D"/>
    <w:rsid w:val="10DD551C"/>
    <w:rsid w:val="1BFD3073"/>
    <w:rsid w:val="34AD0909"/>
    <w:rsid w:val="5E557FB5"/>
    <w:rsid w:val="69354735"/>
    <w:rsid w:val="6E5C5D8D"/>
    <w:rsid w:val="77135678"/>
    <w:rsid w:val="7B6A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qFormat/>
    <w:rPr>
      <w:rFonts w:ascii="宋体" w:eastAsia="宋体" w:hAnsi="宋体" w:cs="宋体" w:hint="eastAsia"/>
      <w:color w:val="333333"/>
      <w:sz w:val="18"/>
      <w:szCs w:val="18"/>
      <w:u w:val="none"/>
    </w:rPr>
  </w:style>
  <w:style w:type="character" w:styleId="a6">
    <w:name w:val="Hyperlink"/>
    <w:basedOn w:val="a0"/>
    <w:qFormat/>
    <w:rPr>
      <w:rFonts w:ascii="宋体" w:eastAsia="宋体" w:hAnsi="宋体" w:cs="宋体" w:hint="eastAsia"/>
      <w:color w:val="333333"/>
      <w:sz w:val="18"/>
      <w:szCs w:val="18"/>
      <w:u w:val="none"/>
    </w:rPr>
  </w:style>
  <w:style w:type="paragraph" w:styleId="a7">
    <w:name w:val="header"/>
    <w:basedOn w:val="a"/>
    <w:link w:val="Char"/>
    <w:rsid w:val="00AB3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B3098"/>
    <w:rPr>
      <w:kern w:val="2"/>
      <w:sz w:val="18"/>
      <w:szCs w:val="18"/>
    </w:rPr>
  </w:style>
  <w:style w:type="paragraph" w:styleId="a8">
    <w:name w:val="footer"/>
    <w:basedOn w:val="a"/>
    <w:link w:val="Char0"/>
    <w:rsid w:val="00AB3098"/>
    <w:pPr>
      <w:tabs>
        <w:tab w:val="center" w:pos="4153"/>
        <w:tab w:val="right" w:pos="8306"/>
      </w:tabs>
      <w:snapToGrid w:val="0"/>
      <w:jc w:val="left"/>
    </w:pPr>
    <w:rPr>
      <w:sz w:val="18"/>
      <w:szCs w:val="18"/>
    </w:rPr>
  </w:style>
  <w:style w:type="character" w:customStyle="1" w:styleId="Char0">
    <w:name w:val="页脚 Char"/>
    <w:basedOn w:val="a0"/>
    <w:link w:val="a8"/>
    <w:rsid w:val="00AB309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qFormat/>
    <w:rPr>
      <w:rFonts w:ascii="宋体" w:eastAsia="宋体" w:hAnsi="宋体" w:cs="宋体" w:hint="eastAsia"/>
      <w:color w:val="333333"/>
      <w:sz w:val="18"/>
      <w:szCs w:val="18"/>
      <w:u w:val="none"/>
    </w:rPr>
  </w:style>
  <w:style w:type="character" w:styleId="a6">
    <w:name w:val="Hyperlink"/>
    <w:basedOn w:val="a0"/>
    <w:qFormat/>
    <w:rPr>
      <w:rFonts w:ascii="宋体" w:eastAsia="宋体" w:hAnsi="宋体" w:cs="宋体" w:hint="eastAsia"/>
      <w:color w:val="333333"/>
      <w:sz w:val="18"/>
      <w:szCs w:val="18"/>
      <w:u w:val="none"/>
    </w:rPr>
  </w:style>
  <w:style w:type="paragraph" w:styleId="a7">
    <w:name w:val="header"/>
    <w:basedOn w:val="a"/>
    <w:link w:val="Char"/>
    <w:rsid w:val="00AB3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B3098"/>
    <w:rPr>
      <w:kern w:val="2"/>
      <w:sz w:val="18"/>
      <w:szCs w:val="18"/>
    </w:rPr>
  </w:style>
  <w:style w:type="paragraph" w:styleId="a8">
    <w:name w:val="footer"/>
    <w:basedOn w:val="a"/>
    <w:link w:val="Char0"/>
    <w:rsid w:val="00AB3098"/>
    <w:pPr>
      <w:tabs>
        <w:tab w:val="center" w:pos="4153"/>
        <w:tab w:val="right" w:pos="8306"/>
      </w:tabs>
      <w:snapToGrid w:val="0"/>
      <w:jc w:val="left"/>
    </w:pPr>
    <w:rPr>
      <w:sz w:val="18"/>
      <w:szCs w:val="18"/>
    </w:rPr>
  </w:style>
  <w:style w:type="character" w:customStyle="1" w:styleId="Char0">
    <w:name w:val="页脚 Char"/>
    <w:basedOn w:val="a0"/>
    <w:link w:val="a8"/>
    <w:rsid w:val="00AB30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1792</Characters>
  <Application>Microsoft Office Word</Application>
  <DocSecurity>0</DocSecurity>
  <Lines>14</Lines>
  <Paragraphs>4</Paragraphs>
  <ScaleCrop>false</ScaleCrop>
  <Company>微软中国</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在路上1413430408</dc:creator>
  <cp:lastModifiedBy>杜青</cp:lastModifiedBy>
  <cp:revision>2</cp:revision>
  <dcterms:created xsi:type="dcterms:W3CDTF">2020-05-15T05:49:00Z</dcterms:created>
  <dcterms:modified xsi:type="dcterms:W3CDTF">2020-05-15T05:49:00Z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