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88" w:rsidRDefault="00AC6FD3">
      <w:pPr>
        <w:widowControl/>
        <w:wordWrap w:val="0"/>
        <w:spacing w:beforeAutospacing="1" w:afterAutospacing="1" w:line="360" w:lineRule="auto"/>
        <w:jc w:val="left"/>
      </w:pPr>
      <w:bookmarkStart w:id="0" w:name="_GoBack"/>
      <w:bookmarkEnd w:id="0"/>
      <w:r>
        <w:rPr>
          <w:rFonts w:ascii="宋体" w:eastAsia="宋体" w:hAnsi="宋体" w:cs="宋体" w:hint="eastAsia"/>
          <w:b/>
          <w:color w:val="333333"/>
          <w:kern w:val="0"/>
          <w:sz w:val="24"/>
          <w:lang w:bidi="ar"/>
        </w:rPr>
        <w:t>一、拟批准的建设项目环境影响报告书</w:t>
      </w:r>
    </w:p>
    <w:tbl>
      <w:tblPr>
        <w:tblStyle w:val="a4"/>
        <w:tblW w:w="4996" w:type="pct"/>
        <w:tblLayout w:type="fixed"/>
        <w:tblLook w:val="04A0" w:firstRow="1" w:lastRow="0" w:firstColumn="1" w:lastColumn="0" w:noHBand="0" w:noVBand="1"/>
      </w:tblPr>
      <w:tblGrid>
        <w:gridCol w:w="712"/>
        <w:gridCol w:w="1321"/>
        <w:gridCol w:w="1516"/>
        <w:gridCol w:w="1216"/>
        <w:gridCol w:w="1311"/>
        <w:gridCol w:w="2133"/>
        <w:gridCol w:w="5954"/>
      </w:tblGrid>
      <w:tr w:rsidR="00651188">
        <w:tc>
          <w:tcPr>
            <w:tcW w:w="251" w:type="pct"/>
            <w:vAlign w:val="center"/>
          </w:tcPr>
          <w:p w:rsidR="00651188" w:rsidRDefault="00AC6FD3">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序号</w:t>
            </w:r>
          </w:p>
        </w:tc>
        <w:tc>
          <w:tcPr>
            <w:tcW w:w="466" w:type="pct"/>
            <w:vAlign w:val="center"/>
          </w:tcPr>
          <w:p w:rsidR="00651188" w:rsidRDefault="00AC6FD3">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项目名称</w:t>
            </w:r>
          </w:p>
        </w:tc>
        <w:tc>
          <w:tcPr>
            <w:tcW w:w="535" w:type="pct"/>
            <w:vAlign w:val="center"/>
          </w:tcPr>
          <w:p w:rsidR="00651188" w:rsidRDefault="00AC6FD3">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建设地点</w:t>
            </w:r>
          </w:p>
        </w:tc>
        <w:tc>
          <w:tcPr>
            <w:tcW w:w="429" w:type="pct"/>
            <w:vAlign w:val="center"/>
          </w:tcPr>
          <w:p w:rsidR="00651188" w:rsidRDefault="00AC6FD3">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建设单位</w:t>
            </w:r>
          </w:p>
        </w:tc>
        <w:tc>
          <w:tcPr>
            <w:tcW w:w="463" w:type="pct"/>
            <w:vAlign w:val="center"/>
          </w:tcPr>
          <w:p w:rsidR="00651188" w:rsidRDefault="00AC6FD3">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环境影响评价机构</w:t>
            </w:r>
          </w:p>
        </w:tc>
        <w:tc>
          <w:tcPr>
            <w:tcW w:w="753" w:type="pct"/>
            <w:vAlign w:val="center"/>
          </w:tcPr>
          <w:p w:rsidR="00651188" w:rsidRDefault="00AC6FD3">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项目概况</w:t>
            </w:r>
          </w:p>
        </w:tc>
        <w:tc>
          <w:tcPr>
            <w:tcW w:w="2101" w:type="pct"/>
            <w:vAlign w:val="center"/>
          </w:tcPr>
          <w:p w:rsidR="00651188" w:rsidRDefault="00AC6FD3">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主要环境影响及预防或者减轻不良环境影响的对策和措施</w:t>
            </w:r>
          </w:p>
        </w:tc>
      </w:tr>
      <w:tr w:rsidR="00651188">
        <w:tc>
          <w:tcPr>
            <w:tcW w:w="251" w:type="pct"/>
            <w:vAlign w:val="center"/>
          </w:tcPr>
          <w:p w:rsidR="00651188" w:rsidRDefault="00AC6FD3">
            <w:pPr>
              <w:jc w:val="center"/>
              <w:rPr>
                <w:rFonts w:ascii="Times New Roman" w:eastAsia="宋体" w:hAnsi="Times New Roman" w:cs="Times New Roman"/>
                <w:color w:val="333333"/>
                <w:szCs w:val="21"/>
              </w:rPr>
            </w:pPr>
            <w:r>
              <w:rPr>
                <w:rFonts w:ascii="Times New Roman" w:eastAsia="宋体" w:hAnsi="Times New Roman" w:cs="Times New Roman"/>
                <w:color w:val="333333"/>
                <w:szCs w:val="21"/>
              </w:rPr>
              <w:t>1</w:t>
            </w:r>
          </w:p>
        </w:tc>
        <w:tc>
          <w:tcPr>
            <w:tcW w:w="466" w:type="pct"/>
            <w:vAlign w:val="center"/>
          </w:tcPr>
          <w:p w:rsidR="00651188" w:rsidRDefault="00AC6FD3">
            <w:pPr>
              <w:jc w:val="center"/>
              <w:rPr>
                <w:rFonts w:ascii="Times New Roman" w:eastAsia="宋体" w:hAnsi="Times New Roman" w:cs="Times New Roman"/>
                <w:color w:val="333333"/>
                <w:szCs w:val="21"/>
              </w:rPr>
            </w:pPr>
            <w:proofErr w:type="gramStart"/>
            <w:r>
              <w:rPr>
                <w:rFonts w:ascii="Times New Roman" w:eastAsia="宋体" w:hAnsi="Times New Roman" w:cs="Times New Roman"/>
                <w:color w:val="333333"/>
                <w:szCs w:val="21"/>
              </w:rPr>
              <w:t>达州五仓宝晟</w:t>
            </w:r>
            <w:proofErr w:type="gramEnd"/>
            <w:r>
              <w:rPr>
                <w:rFonts w:ascii="Times New Roman" w:eastAsia="宋体" w:hAnsi="Times New Roman" w:cs="Times New Roman"/>
                <w:color w:val="333333"/>
                <w:szCs w:val="21"/>
              </w:rPr>
              <w:t>农牧有限公司</w:t>
            </w:r>
            <w:proofErr w:type="gramStart"/>
            <w:r>
              <w:rPr>
                <w:rFonts w:ascii="Times New Roman" w:eastAsia="宋体" w:hAnsi="Times New Roman" w:cs="Times New Roman"/>
                <w:color w:val="333333"/>
                <w:szCs w:val="21"/>
              </w:rPr>
              <w:t>五显庙生猪</w:t>
            </w:r>
            <w:proofErr w:type="gramEnd"/>
            <w:r>
              <w:rPr>
                <w:rFonts w:ascii="Times New Roman" w:eastAsia="宋体" w:hAnsi="Times New Roman" w:cs="Times New Roman"/>
                <w:color w:val="333333"/>
                <w:szCs w:val="21"/>
              </w:rPr>
              <w:t>养殖基地</w:t>
            </w:r>
          </w:p>
        </w:tc>
        <w:tc>
          <w:tcPr>
            <w:tcW w:w="535" w:type="pct"/>
            <w:vAlign w:val="center"/>
          </w:tcPr>
          <w:p w:rsidR="00651188" w:rsidRDefault="00AC6FD3">
            <w:pPr>
              <w:jc w:val="center"/>
              <w:rPr>
                <w:rFonts w:ascii="Times New Roman" w:eastAsia="宋体" w:hAnsi="Times New Roman" w:cs="Times New Roman"/>
                <w:color w:val="333333"/>
                <w:szCs w:val="21"/>
              </w:rPr>
            </w:pPr>
            <w:proofErr w:type="gramStart"/>
            <w:r>
              <w:rPr>
                <w:rFonts w:ascii="Times New Roman" w:eastAsia="宋体" w:hAnsi="Times New Roman" w:cs="Times New Roman"/>
                <w:color w:val="333333"/>
                <w:szCs w:val="21"/>
              </w:rPr>
              <w:t>四川省达州市</w:t>
            </w:r>
            <w:proofErr w:type="gramEnd"/>
            <w:r>
              <w:rPr>
                <w:rFonts w:ascii="Times New Roman" w:eastAsia="宋体" w:hAnsi="Times New Roman" w:cs="Times New Roman"/>
                <w:color w:val="333333"/>
                <w:szCs w:val="21"/>
              </w:rPr>
              <w:t>万源市石窝镇</w:t>
            </w:r>
            <w:proofErr w:type="gramStart"/>
            <w:r>
              <w:rPr>
                <w:rFonts w:ascii="Times New Roman" w:eastAsia="宋体" w:hAnsi="Times New Roman" w:cs="Times New Roman"/>
                <w:color w:val="333333"/>
                <w:szCs w:val="21"/>
              </w:rPr>
              <w:t>五显庙村</w:t>
            </w:r>
            <w:proofErr w:type="gramEnd"/>
            <w:r>
              <w:rPr>
                <w:rFonts w:ascii="Times New Roman" w:eastAsia="宋体" w:hAnsi="Times New Roman" w:cs="Times New Roman"/>
                <w:color w:val="333333"/>
                <w:szCs w:val="21"/>
              </w:rPr>
              <w:t>白岩洞，草坝</w:t>
            </w:r>
            <w:proofErr w:type="gramStart"/>
            <w:r>
              <w:rPr>
                <w:rFonts w:ascii="Times New Roman" w:eastAsia="宋体" w:hAnsi="Times New Roman" w:cs="Times New Roman"/>
                <w:color w:val="333333"/>
                <w:szCs w:val="21"/>
              </w:rPr>
              <w:t>镇兰岭坪村利溪</w:t>
            </w:r>
            <w:proofErr w:type="gramEnd"/>
            <w:r>
              <w:rPr>
                <w:rFonts w:ascii="Times New Roman" w:eastAsia="宋体" w:hAnsi="Times New Roman" w:cs="Times New Roman"/>
                <w:color w:val="333333"/>
                <w:szCs w:val="21"/>
              </w:rPr>
              <w:t>河组、三</w:t>
            </w:r>
            <w:proofErr w:type="gramStart"/>
            <w:r>
              <w:rPr>
                <w:rFonts w:ascii="Times New Roman" w:eastAsia="宋体" w:hAnsi="Times New Roman" w:cs="Times New Roman"/>
                <w:color w:val="333333"/>
                <w:szCs w:val="21"/>
              </w:rPr>
              <w:t>溪口组</w:t>
            </w:r>
            <w:proofErr w:type="gramEnd"/>
          </w:p>
        </w:tc>
        <w:tc>
          <w:tcPr>
            <w:tcW w:w="429" w:type="pct"/>
            <w:vAlign w:val="center"/>
          </w:tcPr>
          <w:p w:rsidR="00651188" w:rsidRDefault="00AC6FD3">
            <w:pPr>
              <w:jc w:val="center"/>
              <w:rPr>
                <w:rFonts w:ascii="Times New Roman" w:eastAsia="宋体" w:hAnsi="Times New Roman" w:cs="Times New Roman"/>
                <w:color w:val="333333"/>
                <w:szCs w:val="21"/>
              </w:rPr>
            </w:pPr>
            <w:proofErr w:type="gramStart"/>
            <w:r>
              <w:rPr>
                <w:rFonts w:ascii="Times New Roman" w:eastAsia="宋体" w:hAnsi="Times New Roman" w:cs="Times New Roman"/>
                <w:color w:val="333333"/>
                <w:szCs w:val="21"/>
              </w:rPr>
              <w:t>达州五仓宝晟</w:t>
            </w:r>
            <w:proofErr w:type="gramEnd"/>
            <w:r>
              <w:rPr>
                <w:rFonts w:ascii="Times New Roman" w:eastAsia="宋体" w:hAnsi="Times New Roman" w:cs="Times New Roman"/>
                <w:color w:val="333333"/>
                <w:szCs w:val="21"/>
              </w:rPr>
              <w:t>农牧有限公司</w:t>
            </w:r>
          </w:p>
        </w:tc>
        <w:tc>
          <w:tcPr>
            <w:tcW w:w="463" w:type="pct"/>
            <w:vAlign w:val="center"/>
          </w:tcPr>
          <w:p w:rsidR="00651188" w:rsidRDefault="00AC6FD3">
            <w:pPr>
              <w:jc w:val="center"/>
              <w:rPr>
                <w:rFonts w:ascii="Times New Roman" w:eastAsia="宋体" w:hAnsi="Times New Roman" w:cs="Times New Roman"/>
                <w:color w:val="333333"/>
                <w:szCs w:val="21"/>
              </w:rPr>
            </w:pPr>
            <w:r>
              <w:rPr>
                <w:rFonts w:ascii="Times New Roman" w:eastAsia="宋体" w:hAnsi="Times New Roman" w:cs="Times New Roman"/>
                <w:color w:val="333333"/>
                <w:szCs w:val="21"/>
              </w:rPr>
              <w:t>成都中环国保科技有限公司</w:t>
            </w:r>
          </w:p>
        </w:tc>
        <w:tc>
          <w:tcPr>
            <w:tcW w:w="753" w:type="pct"/>
            <w:vAlign w:val="center"/>
          </w:tcPr>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项目新建</w:t>
            </w:r>
            <w:r>
              <w:rPr>
                <w:rFonts w:ascii="Times New Roman" w:eastAsia="宋体" w:hAnsi="Times New Roman" w:cs="Times New Roman"/>
                <w:color w:val="333333"/>
                <w:szCs w:val="21"/>
              </w:rPr>
              <w:t>1</w:t>
            </w:r>
            <w:r>
              <w:rPr>
                <w:rFonts w:ascii="Times New Roman" w:eastAsia="宋体" w:hAnsi="Times New Roman" w:cs="Times New Roman"/>
                <w:color w:val="333333"/>
                <w:szCs w:val="21"/>
              </w:rPr>
              <w:t>个年存栏</w:t>
            </w:r>
            <w:r>
              <w:rPr>
                <w:rFonts w:ascii="Times New Roman" w:eastAsia="宋体" w:hAnsi="Times New Roman" w:cs="Times New Roman"/>
                <w:color w:val="333333"/>
                <w:szCs w:val="21"/>
              </w:rPr>
              <w:t>3.5</w:t>
            </w:r>
            <w:r>
              <w:rPr>
                <w:rFonts w:ascii="Times New Roman" w:eastAsia="宋体" w:hAnsi="Times New Roman" w:cs="Times New Roman"/>
                <w:color w:val="333333"/>
                <w:szCs w:val="21"/>
              </w:rPr>
              <w:t>万头的生猪育肥养殖基地，</w:t>
            </w:r>
            <w:r>
              <w:rPr>
                <w:rFonts w:ascii="Times New Roman" w:eastAsia="宋体" w:hAnsi="Times New Roman" w:cs="Times New Roman" w:hint="eastAsia"/>
                <w:color w:val="333333"/>
                <w:szCs w:val="21"/>
              </w:rPr>
              <w:t>年出栏商品猪</w:t>
            </w:r>
            <w:r>
              <w:rPr>
                <w:rFonts w:ascii="Times New Roman" w:eastAsia="宋体" w:hAnsi="Times New Roman" w:cs="Times New Roman" w:hint="eastAsia"/>
                <w:color w:val="333333"/>
                <w:szCs w:val="21"/>
              </w:rPr>
              <w:t>7</w:t>
            </w:r>
            <w:r>
              <w:rPr>
                <w:rFonts w:ascii="Times New Roman" w:eastAsia="宋体" w:hAnsi="Times New Roman" w:cs="Times New Roman" w:hint="eastAsia"/>
                <w:color w:val="333333"/>
                <w:szCs w:val="21"/>
              </w:rPr>
              <w:t>万头。</w:t>
            </w:r>
            <w:r>
              <w:rPr>
                <w:rFonts w:ascii="Times New Roman" w:eastAsia="宋体" w:hAnsi="Times New Roman" w:cs="Times New Roman"/>
                <w:color w:val="333333"/>
                <w:szCs w:val="21"/>
              </w:rPr>
              <w:t>一期建设</w:t>
            </w:r>
            <w:r>
              <w:rPr>
                <w:rFonts w:ascii="Times New Roman" w:eastAsia="宋体" w:hAnsi="Times New Roman" w:cs="Times New Roman"/>
                <w:color w:val="333333"/>
                <w:szCs w:val="21"/>
              </w:rPr>
              <w:t>2</w:t>
            </w:r>
            <w:r>
              <w:rPr>
                <w:rFonts w:ascii="Times New Roman" w:eastAsia="宋体" w:hAnsi="Times New Roman" w:cs="Times New Roman"/>
                <w:color w:val="333333"/>
                <w:szCs w:val="21"/>
              </w:rPr>
              <w:t>栋育肥舍（存栏</w:t>
            </w:r>
            <w:r>
              <w:rPr>
                <w:rFonts w:ascii="Times New Roman" w:eastAsia="宋体" w:hAnsi="Times New Roman" w:cs="Times New Roman"/>
                <w:color w:val="333333"/>
                <w:szCs w:val="21"/>
              </w:rPr>
              <w:t>2400</w:t>
            </w:r>
            <w:r>
              <w:rPr>
                <w:rFonts w:ascii="Times New Roman" w:eastAsia="宋体" w:hAnsi="Times New Roman" w:cs="Times New Roman"/>
                <w:color w:val="333333"/>
                <w:szCs w:val="21"/>
              </w:rPr>
              <w:t>头，二期调整</w:t>
            </w:r>
            <w:r>
              <w:rPr>
                <w:rFonts w:ascii="Times New Roman" w:eastAsia="宋体" w:hAnsi="Times New Roman" w:cs="Times New Roman"/>
                <w:color w:val="333333"/>
                <w:szCs w:val="21"/>
              </w:rPr>
              <w:t>100</w:t>
            </w:r>
            <w:r>
              <w:rPr>
                <w:rFonts w:ascii="Times New Roman" w:eastAsia="宋体" w:hAnsi="Times New Roman" w:cs="Times New Roman"/>
                <w:color w:val="333333"/>
                <w:szCs w:val="21"/>
              </w:rPr>
              <w:t>头至一期育肥舍内，调整后存栏量</w:t>
            </w:r>
            <w:r>
              <w:rPr>
                <w:rFonts w:ascii="Times New Roman" w:eastAsia="宋体" w:hAnsi="Times New Roman" w:cs="Times New Roman"/>
                <w:color w:val="333333"/>
                <w:szCs w:val="21"/>
              </w:rPr>
              <w:t>2500</w:t>
            </w:r>
            <w:r>
              <w:rPr>
                <w:rFonts w:ascii="Times New Roman" w:eastAsia="宋体" w:hAnsi="Times New Roman" w:cs="Times New Roman"/>
                <w:color w:val="333333"/>
                <w:szCs w:val="21"/>
              </w:rPr>
              <w:t>头），二期建设</w:t>
            </w:r>
            <w:r>
              <w:rPr>
                <w:rFonts w:ascii="Times New Roman" w:eastAsia="宋体" w:hAnsi="Times New Roman" w:cs="Times New Roman"/>
                <w:color w:val="333333"/>
                <w:szCs w:val="21"/>
              </w:rPr>
              <w:t>26</w:t>
            </w:r>
            <w:r>
              <w:rPr>
                <w:rFonts w:ascii="Times New Roman" w:eastAsia="宋体" w:hAnsi="Times New Roman" w:cs="Times New Roman"/>
                <w:color w:val="333333"/>
                <w:szCs w:val="21"/>
              </w:rPr>
              <w:t>栋育肥</w:t>
            </w:r>
            <w:proofErr w:type="gramStart"/>
            <w:r>
              <w:rPr>
                <w:rFonts w:ascii="Times New Roman" w:eastAsia="宋体" w:hAnsi="Times New Roman" w:cs="Times New Roman"/>
                <w:color w:val="333333"/>
                <w:szCs w:val="21"/>
              </w:rPr>
              <w:t>舍及其</w:t>
            </w:r>
            <w:proofErr w:type="gramEnd"/>
            <w:r>
              <w:rPr>
                <w:rFonts w:ascii="Times New Roman" w:eastAsia="宋体" w:hAnsi="Times New Roman" w:cs="Times New Roman"/>
                <w:color w:val="333333"/>
                <w:szCs w:val="21"/>
              </w:rPr>
              <w:t>相关配套工程，调整后存栏量为</w:t>
            </w:r>
            <w:r>
              <w:rPr>
                <w:rFonts w:ascii="Times New Roman" w:eastAsia="宋体" w:hAnsi="Times New Roman" w:cs="Times New Roman"/>
                <w:color w:val="333333"/>
                <w:szCs w:val="21"/>
              </w:rPr>
              <w:t>3.25</w:t>
            </w:r>
            <w:r>
              <w:rPr>
                <w:rFonts w:ascii="Times New Roman" w:eastAsia="宋体" w:hAnsi="Times New Roman" w:cs="Times New Roman"/>
                <w:color w:val="333333"/>
                <w:szCs w:val="21"/>
              </w:rPr>
              <w:t>万头。</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项目总投资</w:t>
            </w:r>
            <w:r>
              <w:rPr>
                <w:rFonts w:ascii="Times New Roman" w:eastAsia="宋体" w:hAnsi="Times New Roman" w:cs="Times New Roman"/>
                <w:color w:val="333333"/>
                <w:szCs w:val="21"/>
              </w:rPr>
              <w:t>6500</w:t>
            </w:r>
            <w:r>
              <w:rPr>
                <w:rFonts w:ascii="Times New Roman" w:eastAsia="宋体" w:hAnsi="Times New Roman" w:cs="Times New Roman"/>
                <w:color w:val="333333"/>
                <w:szCs w:val="21"/>
              </w:rPr>
              <w:t>万元，环保投资</w:t>
            </w:r>
            <w:r>
              <w:rPr>
                <w:rFonts w:ascii="Times New Roman" w:eastAsia="宋体" w:hAnsi="Times New Roman" w:cs="Times New Roman"/>
                <w:color w:val="333333"/>
                <w:szCs w:val="21"/>
              </w:rPr>
              <w:t>894.65</w:t>
            </w:r>
            <w:r>
              <w:rPr>
                <w:rFonts w:ascii="Times New Roman" w:eastAsia="宋体" w:hAnsi="Times New Roman" w:cs="Times New Roman"/>
                <w:color w:val="333333"/>
                <w:szCs w:val="21"/>
              </w:rPr>
              <w:t>万元，占总投资的</w:t>
            </w:r>
            <w:r>
              <w:rPr>
                <w:rFonts w:ascii="Times New Roman" w:eastAsia="宋体" w:hAnsi="Times New Roman" w:cs="Times New Roman"/>
                <w:color w:val="333333"/>
                <w:szCs w:val="21"/>
              </w:rPr>
              <w:t>13.76%</w:t>
            </w:r>
            <w:r>
              <w:rPr>
                <w:rFonts w:ascii="Times New Roman" w:eastAsia="宋体" w:hAnsi="Times New Roman" w:cs="Times New Roman"/>
                <w:color w:val="333333"/>
                <w:szCs w:val="21"/>
              </w:rPr>
              <w:t>。</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项目</w:t>
            </w:r>
            <w:proofErr w:type="gramStart"/>
            <w:r>
              <w:rPr>
                <w:rFonts w:ascii="Times New Roman" w:eastAsia="宋体" w:hAnsi="Times New Roman" w:cs="Times New Roman"/>
                <w:color w:val="333333"/>
                <w:szCs w:val="21"/>
              </w:rPr>
              <w:t>一</w:t>
            </w:r>
            <w:proofErr w:type="gramEnd"/>
            <w:r>
              <w:rPr>
                <w:rFonts w:ascii="Times New Roman" w:eastAsia="宋体" w:hAnsi="Times New Roman" w:cs="Times New Roman"/>
                <w:color w:val="333333"/>
                <w:szCs w:val="21"/>
              </w:rPr>
              <w:t>期于</w:t>
            </w:r>
            <w:r>
              <w:rPr>
                <w:rFonts w:ascii="Times New Roman" w:eastAsia="宋体" w:hAnsi="Times New Roman" w:cs="Times New Roman"/>
                <w:color w:val="333333"/>
                <w:szCs w:val="21"/>
              </w:rPr>
              <w:t>2019</w:t>
            </w:r>
            <w:r>
              <w:rPr>
                <w:rFonts w:ascii="Times New Roman" w:eastAsia="宋体" w:hAnsi="Times New Roman" w:cs="Times New Roman"/>
                <w:color w:val="333333"/>
                <w:szCs w:val="21"/>
              </w:rPr>
              <w:t>年</w:t>
            </w:r>
            <w:r>
              <w:rPr>
                <w:rFonts w:ascii="Times New Roman" w:eastAsia="宋体" w:hAnsi="Times New Roman" w:cs="Times New Roman"/>
                <w:color w:val="333333"/>
                <w:szCs w:val="21"/>
              </w:rPr>
              <w:t>8</w:t>
            </w:r>
            <w:r>
              <w:rPr>
                <w:rFonts w:ascii="Times New Roman" w:eastAsia="宋体" w:hAnsi="Times New Roman" w:cs="Times New Roman"/>
                <w:color w:val="333333"/>
                <w:szCs w:val="21"/>
              </w:rPr>
              <w:t>月</w:t>
            </w:r>
            <w:r>
              <w:rPr>
                <w:rFonts w:ascii="Times New Roman" w:eastAsia="宋体" w:hAnsi="Times New Roman" w:cs="Times New Roman"/>
                <w:color w:val="333333"/>
                <w:szCs w:val="21"/>
              </w:rPr>
              <w:t>19</w:t>
            </w:r>
            <w:r>
              <w:rPr>
                <w:rFonts w:ascii="Times New Roman" w:eastAsia="宋体" w:hAnsi="Times New Roman" w:cs="Times New Roman"/>
                <w:color w:val="333333"/>
                <w:szCs w:val="21"/>
              </w:rPr>
              <w:t>日完成《建设项目环境影响登记表》（备案号：</w:t>
            </w:r>
            <w:r>
              <w:rPr>
                <w:rFonts w:ascii="Times New Roman" w:eastAsia="宋体" w:hAnsi="Times New Roman" w:cs="Times New Roman"/>
                <w:color w:val="333333"/>
                <w:szCs w:val="21"/>
              </w:rPr>
              <w:t>201951178100000071</w:t>
            </w:r>
            <w:r>
              <w:rPr>
                <w:rFonts w:ascii="Times New Roman" w:eastAsia="宋体" w:hAnsi="Times New Roman" w:cs="Times New Roman"/>
                <w:color w:val="333333"/>
                <w:szCs w:val="21"/>
              </w:rPr>
              <w:t>），并于</w:t>
            </w:r>
            <w:r>
              <w:rPr>
                <w:rFonts w:ascii="Times New Roman" w:eastAsia="宋体" w:hAnsi="Times New Roman" w:cs="Times New Roman"/>
                <w:color w:val="333333"/>
                <w:szCs w:val="21"/>
              </w:rPr>
              <w:t>2019</w:t>
            </w:r>
            <w:r>
              <w:rPr>
                <w:rFonts w:ascii="Times New Roman" w:eastAsia="宋体" w:hAnsi="Times New Roman" w:cs="Times New Roman"/>
                <w:color w:val="333333"/>
                <w:szCs w:val="21"/>
              </w:rPr>
              <w:t>年</w:t>
            </w:r>
            <w:r>
              <w:rPr>
                <w:rFonts w:ascii="Times New Roman" w:eastAsia="宋体" w:hAnsi="Times New Roman" w:cs="Times New Roman"/>
                <w:color w:val="333333"/>
                <w:szCs w:val="21"/>
              </w:rPr>
              <w:t>12</w:t>
            </w:r>
            <w:r>
              <w:rPr>
                <w:rFonts w:ascii="Times New Roman" w:eastAsia="宋体" w:hAnsi="Times New Roman" w:cs="Times New Roman"/>
                <w:color w:val="333333"/>
                <w:szCs w:val="21"/>
              </w:rPr>
              <w:lastRenderedPageBreak/>
              <w:t>月开工建设，目前</w:t>
            </w:r>
            <w:r>
              <w:rPr>
                <w:rFonts w:ascii="Times New Roman" w:eastAsia="宋体" w:hAnsi="Times New Roman" w:cs="Times New Roman"/>
                <w:color w:val="333333"/>
                <w:szCs w:val="21"/>
              </w:rPr>
              <w:t>2</w:t>
            </w:r>
            <w:r>
              <w:rPr>
                <w:rFonts w:ascii="Times New Roman" w:eastAsia="宋体" w:hAnsi="Times New Roman" w:cs="Times New Roman"/>
                <w:color w:val="333333"/>
                <w:szCs w:val="21"/>
              </w:rPr>
              <w:t>栋猪舍尚未建设完工，二期尚未开始建设。</w:t>
            </w:r>
          </w:p>
        </w:tc>
        <w:tc>
          <w:tcPr>
            <w:tcW w:w="2101" w:type="pct"/>
            <w:vAlign w:val="center"/>
          </w:tcPr>
          <w:p w:rsidR="00651188" w:rsidRDefault="00AC6FD3">
            <w:pPr>
              <w:jc w:val="left"/>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lastRenderedPageBreak/>
              <w:t>一、施工期环境保护措施</w:t>
            </w:r>
          </w:p>
          <w:p w:rsidR="00651188" w:rsidRDefault="00AC6FD3">
            <w:pPr>
              <w:jc w:val="left"/>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1.</w:t>
            </w:r>
            <w:r>
              <w:rPr>
                <w:rFonts w:ascii="Times New Roman" w:eastAsia="宋体" w:hAnsi="Times New Roman" w:cs="Times New Roman"/>
                <w:b/>
                <w:bCs/>
                <w:color w:val="333333"/>
                <w:szCs w:val="21"/>
              </w:rPr>
              <w:t>废气</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施工期间大气污染物主要是施工场地产生的扬尘，通过设立隔离围栏、建筑材料覆盖、及时回填、定期洒水、运输车辆采取覆盖等降尘措施后，可最大限度降低扬尘污染。</w:t>
            </w:r>
          </w:p>
          <w:p w:rsidR="00651188" w:rsidRDefault="00AC6FD3">
            <w:pPr>
              <w:jc w:val="left"/>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2.</w:t>
            </w:r>
            <w:r>
              <w:rPr>
                <w:rFonts w:ascii="Times New Roman" w:eastAsia="宋体" w:hAnsi="Times New Roman" w:cs="Times New Roman"/>
                <w:b/>
                <w:bCs/>
                <w:color w:val="333333"/>
                <w:szCs w:val="21"/>
              </w:rPr>
              <w:t>废水</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加强对施工现场废水的收集，设置沉淀池，施工废水沉淀后用于施工场地洒水降尘，不外排；生活污水通过旱厕处理后用作周边土地施肥。</w:t>
            </w:r>
          </w:p>
          <w:p w:rsidR="00651188" w:rsidRDefault="00AC6FD3">
            <w:pPr>
              <w:jc w:val="left"/>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3.</w:t>
            </w:r>
            <w:r>
              <w:rPr>
                <w:rFonts w:ascii="Times New Roman" w:eastAsia="宋体" w:hAnsi="Times New Roman" w:cs="Times New Roman"/>
                <w:b/>
                <w:bCs/>
                <w:color w:val="333333"/>
                <w:szCs w:val="21"/>
              </w:rPr>
              <w:t>固废</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项目施工过程中产生的建筑垃圾交由专业土石方渣土清运公司负责清运至项目所在地市政指定地点堆放；开挖土方用于回填及修建周边道路绿化覆土、本项目绿化工程的填方及绿化覆土及周边农田整治覆土等，无弃土产生；生活垃圾应集中收集，由环卫部门清运和统一处置。</w:t>
            </w:r>
          </w:p>
          <w:p w:rsidR="00651188" w:rsidRDefault="00AC6FD3">
            <w:pPr>
              <w:jc w:val="left"/>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4.</w:t>
            </w:r>
            <w:r>
              <w:rPr>
                <w:rFonts w:ascii="Times New Roman" w:eastAsia="宋体" w:hAnsi="Times New Roman" w:cs="Times New Roman"/>
                <w:b/>
                <w:bCs/>
                <w:color w:val="333333"/>
                <w:szCs w:val="21"/>
              </w:rPr>
              <w:t>噪声</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合理安排施工时段，优化施工现场，夜间禁止施工，加强设备维护、合理布局、等降噪措施，确保施工期噪声达标。</w:t>
            </w:r>
          </w:p>
          <w:p w:rsidR="00651188" w:rsidRDefault="00AC6FD3">
            <w:pPr>
              <w:jc w:val="left"/>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5.</w:t>
            </w:r>
            <w:r>
              <w:rPr>
                <w:rFonts w:ascii="Times New Roman" w:eastAsia="宋体" w:hAnsi="Times New Roman" w:cs="Times New Roman"/>
                <w:b/>
                <w:bCs/>
                <w:color w:val="333333"/>
                <w:szCs w:val="21"/>
              </w:rPr>
              <w:t>生态环境</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施工期土建工程应尽量避开雨季，施工场地建排水沟，防止雨水冲刷场地，并在排水沟出口设沉淀池，使雨水经沉淀池沉清后回用，尽力减少施工期水土流失。</w:t>
            </w:r>
          </w:p>
          <w:p w:rsidR="00651188" w:rsidRDefault="00AC6FD3">
            <w:pPr>
              <w:jc w:val="left"/>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lastRenderedPageBreak/>
              <w:t>二、营运期环境保护措施</w:t>
            </w:r>
          </w:p>
          <w:p w:rsidR="00651188" w:rsidRDefault="00AC6FD3">
            <w:pP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1.</w:t>
            </w:r>
            <w:r>
              <w:rPr>
                <w:rFonts w:ascii="Times New Roman" w:eastAsia="宋体" w:hAnsi="Times New Roman" w:cs="Times New Roman"/>
                <w:b/>
                <w:bCs/>
                <w:color w:val="333333"/>
                <w:szCs w:val="21"/>
              </w:rPr>
              <w:t>废气</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猪舍采取</w:t>
            </w:r>
            <w:r>
              <w:rPr>
                <w:rFonts w:ascii="Times New Roman" w:eastAsia="宋体" w:hAnsi="Times New Roman" w:cs="Times New Roman"/>
                <w:color w:val="333333"/>
                <w:szCs w:val="21"/>
              </w:rPr>
              <w:t>“</w:t>
            </w:r>
            <w:r>
              <w:rPr>
                <w:rFonts w:ascii="Times New Roman" w:eastAsia="宋体" w:hAnsi="Times New Roman" w:cs="Times New Roman"/>
                <w:color w:val="333333"/>
                <w:szCs w:val="21"/>
              </w:rPr>
              <w:t>全漏缝地板</w:t>
            </w:r>
            <w:r>
              <w:rPr>
                <w:rFonts w:ascii="Times New Roman" w:eastAsia="宋体" w:hAnsi="Times New Roman" w:cs="Times New Roman"/>
                <w:color w:val="333333"/>
                <w:szCs w:val="21"/>
              </w:rPr>
              <w:t>+</w:t>
            </w:r>
            <w:r>
              <w:rPr>
                <w:rFonts w:ascii="Times New Roman" w:eastAsia="宋体" w:hAnsi="Times New Roman" w:cs="Times New Roman"/>
                <w:color w:val="333333"/>
                <w:szCs w:val="21"/>
              </w:rPr>
              <w:t>尿泡粪</w:t>
            </w:r>
            <w:r>
              <w:rPr>
                <w:rFonts w:ascii="Times New Roman" w:eastAsia="宋体" w:hAnsi="Times New Roman" w:cs="Times New Roman"/>
                <w:color w:val="333333"/>
                <w:szCs w:val="21"/>
              </w:rPr>
              <w:t>”</w:t>
            </w:r>
            <w:r>
              <w:rPr>
                <w:rFonts w:ascii="Times New Roman" w:eastAsia="宋体" w:hAnsi="Times New Roman" w:cs="Times New Roman"/>
                <w:color w:val="333333"/>
                <w:szCs w:val="21"/>
              </w:rPr>
              <w:t>工艺，同时采用改良型饲料、节水型饮水器、加强通风等措施运营管理猪只饲养、喷洒除臭剂、种植对空气净化有利的植物等方法进行除臭；异位发酵床采用</w:t>
            </w:r>
            <w:r>
              <w:rPr>
                <w:rFonts w:ascii="Times New Roman" w:eastAsia="宋体" w:hAnsi="Times New Roman" w:cs="Times New Roman"/>
                <w:color w:val="333333"/>
                <w:szCs w:val="21"/>
              </w:rPr>
              <w:t>“</w:t>
            </w:r>
            <w:r>
              <w:rPr>
                <w:rFonts w:ascii="Times New Roman" w:eastAsia="宋体" w:hAnsi="Times New Roman" w:cs="Times New Roman"/>
                <w:color w:val="333333"/>
                <w:szCs w:val="21"/>
              </w:rPr>
              <w:t>优化饲料</w:t>
            </w:r>
            <w:r>
              <w:rPr>
                <w:rFonts w:ascii="Times New Roman" w:eastAsia="宋体" w:hAnsi="Times New Roman" w:cs="Times New Roman"/>
                <w:color w:val="333333"/>
                <w:szCs w:val="21"/>
              </w:rPr>
              <w:t>+</w:t>
            </w:r>
            <w:r>
              <w:rPr>
                <w:rFonts w:ascii="Times New Roman" w:eastAsia="宋体" w:hAnsi="Times New Roman" w:cs="Times New Roman"/>
                <w:color w:val="333333"/>
                <w:szCs w:val="21"/>
              </w:rPr>
              <w:t>喷洒除臭剂</w:t>
            </w:r>
            <w:r>
              <w:rPr>
                <w:rFonts w:ascii="Times New Roman" w:eastAsia="宋体" w:hAnsi="Times New Roman" w:cs="Times New Roman"/>
                <w:color w:val="333333"/>
                <w:szCs w:val="21"/>
              </w:rPr>
              <w:t>+</w:t>
            </w:r>
            <w:r>
              <w:rPr>
                <w:rFonts w:ascii="Times New Roman" w:eastAsia="宋体" w:hAnsi="Times New Roman" w:cs="Times New Roman"/>
                <w:color w:val="333333"/>
                <w:szCs w:val="21"/>
              </w:rPr>
              <w:t>加强绿化</w:t>
            </w:r>
            <w:r>
              <w:rPr>
                <w:rFonts w:ascii="Times New Roman" w:eastAsia="宋体" w:hAnsi="Times New Roman" w:cs="Times New Roman"/>
                <w:color w:val="333333"/>
                <w:szCs w:val="21"/>
              </w:rPr>
              <w:t>”</w:t>
            </w:r>
            <w:r>
              <w:rPr>
                <w:rFonts w:ascii="Times New Roman" w:eastAsia="宋体" w:hAnsi="Times New Roman" w:cs="Times New Roman"/>
                <w:color w:val="333333"/>
                <w:szCs w:val="21"/>
              </w:rPr>
              <w:t>等组合方式进行除臭；中转池、暂存</w:t>
            </w:r>
            <w:proofErr w:type="gramStart"/>
            <w:r>
              <w:rPr>
                <w:rFonts w:ascii="Times New Roman" w:eastAsia="宋体" w:hAnsi="Times New Roman" w:cs="Times New Roman"/>
                <w:color w:val="333333"/>
                <w:szCs w:val="21"/>
              </w:rPr>
              <w:t>池采取</w:t>
            </w:r>
            <w:proofErr w:type="gramEnd"/>
            <w:r>
              <w:rPr>
                <w:rFonts w:ascii="Times New Roman" w:eastAsia="宋体" w:hAnsi="Times New Roman" w:cs="Times New Roman"/>
                <w:color w:val="333333"/>
                <w:szCs w:val="21"/>
              </w:rPr>
              <w:t>密闭，并定时喷洒除臭剂等进行除臭；高温一体化处理机恶臭采取</w:t>
            </w:r>
            <w:r>
              <w:rPr>
                <w:rFonts w:ascii="Times New Roman" w:eastAsia="宋体" w:hAnsi="Times New Roman" w:cs="Times New Roman"/>
                <w:color w:val="333333"/>
                <w:szCs w:val="21"/>
              </w:rPr>
              <w:t>“</w:t>
            </w:r>
            <w:r>
              <w:rPr>
                <w:rFonts w:ascii="Times New Roman" w:eastAsia="宋体" w:hAnsi="Times New Roman" w:cs="Times New Roman"/>
                <w:color w:val="333333"/>
                <w:szCs w:val="21"/>
              </w:rPr>
              <w:t>水喷淋</w:t>
            </w:r>
            <w:r>
              <w:rPr>
                <w:rFonts w:ascii="Times New Roman" w:eastAsia="宋体" w:hAnsi="Times New Roman" w:cs="Times New Roman"/>
                <w:color w:val="333333"/>
                <w:szCs w:val="21"/>
              </w:rPr>
              <w:t>+UV</w:t>
            </w:r>
            <w:r>
              <w:rPr>
                <w:rFonts w:ascii="Times New Roman" w:eastAsia="宋体" w:hAnsi="Times New Roman" w:cs="Times New Roman"/>
                <w:color w:val="333333"/>
                <w:szCs w:val="21"/>
              </w:rPr>
              <w:t>光解除臭</w:t>
            </w:r>
            <w:r>
              <w:rPr>
                <w:rFonts w:ascii="Times New Roman" w:eastAsia="宋体" w:hAnsi="Times New Roman" w:cs="Times New Roman"/>
                <w:color w:val="333333"/>
                <w:szCs w:val="21"/>
              </w:rPr>
              <w:t>+15m</w:t>
            </w:r>
            <w:r>
              <w:rPr>
                <w:rFonts w:ascii="Times New Roman" w:eastAsia="宋体" w:hAnsi="Times New Roman" w:cs="Times New Roman"/>
                <w:color w:val="333333"/>
                <w:szCs w:val="21"/>
              </w:rPr>
              <w:t>高排气筒</w:t>
            </w:r>
            <w:r>
              <w:rPr>
                <w:rFonts w:ascii="Times New Roman" w:eastAsia="宋体" w:hAnsi="Times New Roman" w:cs="Times New Roman"/>
                <w:color w:val="333333"/>
                <w:szCs w:val="21"/>
              </w:rPr>
              <w:t>”</w:t>
            </w:r>
            <w:r>
              <w:rPr>
                <w:rFonts w:ascii="Times New Roman" w:eastAsia="宋体" w:hAnsi="Times New Roman" w:cs="Times New Roman"/>
                <w:color w:val="333333"/>
                <w:szCs w:val="21"/>
              </w:rPr>
              <w:t>处理；食堂油烟采取油烟净化器处理后，由专用内置强制排烟道至食堂楼顶排放；按环</w:t>
            </w:r>
            <w:proofErr w:type="gramStart"/>
            <w:r>
              <w:rPr>
                <w:rFonts w:ascii="Times New Roman" w:eastAsia="宋体" w:hAnsi="Times New Roman" w:cs="Times New Roman"/>
                <w:color w:val="333333"/>
                <w:szCs w:val="21"/>
              </w:rPr>
              <w:t>评报告</w:t>
            </w:r>
            <w:proofErr w:type="gramEnd"/>
            <w:r>
              <w:rPr>
                <w:rFonts w:ascii="Times New Roman" w:eastAsia="宋体" w:hAnsi="Times New Roman" w:cs="Times New Roman"/>
                <w:color w:val="333333"/>
                <w:szCs w:val="21"/>
              </w:rPr>
              <w:t>要求项目划定卫生防护距离</w:t>
            </w:r>
            <w:r>
              <w:rPr>
                <w:rFonts w:ascii="Times New Roman" w:eastAsia="宋体" w:hAnsi="Times New Roman" w:cs="Times New Roman"/>
                <w:color w:val="333333"/>
                <w:szCs w:val="21"/>
              </w:rPr>
              <w:t>200m</w:t>
            </w:r>
            <w:r>
              <w:rPr>
                <w:rFonts w:ascii="Times New Roman" w:eastAsia="宋体" w:hAnsi="Times New Roman" w:cs="Times New Roman"/>
                <w:color w:val="333333"/>
                <w:szCs w:val="21"/>
              </w:rPr>
              <w:t>，今后在</w:t>
            </w:r>
            <w:proofErr w:type="gramStart"/>
            <w:r>
              <w:rPr>
                <w:rFonts w:ascii="Times New Roman" w:eastAsia="宋体" w:hAnsi="Times New Roman" w:cs="Times New Roman"/>
                <w:color w:val="333333"/>
                <w:szCs w:val="21"/>
              </w:rPr>
              <w:t>该卫生</w:t>
            </w:r>
            <w:proofErr w:type="gramEnd"/>
            <w:r>
              <w:rPr>
                <w:rFonts w:ascii="Times New Roman" w:eastAsia="宋体" w:hAnsi="Times New Roman" w:cs="Times New Roman"/>
                <w:color w:val="333333"/>
                <w:szCs w:val="21"/>
              </w:rPr>
              <w:t>防护距离范围内禁止新建医院、学校、居民区等敏感点。</w:t>
            </w:r>
          </w:p>
          <w:p w:rsidR="00651188" w:rsidRDefault="00AC6FD3">
            <w:pP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2.</w:t>
            </w:r>
            <w:r>
              <w:rPr>
                <w:rFonts w:ascii="Times New Roman" w:eastAsia="宋体" w:hAnsi="Times New Roman" w:cs="Times New Roman"/>
                <w:b/>
                <w:bCs/>
                <w:color w:val="333333"/>
                <w:szCs w:val="21"/>
              </w:rPr>
              <w:t>废水</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食堂废水经隔油池处理后进入厂区暂存池、生活污水经化粪池处理后进入厂区暂存池与养殖废水一同进入异位发酵</w:t>
            </w:r>
            <w:proofErr w:type="gramStart"/>
            <w:r>
              <w:rPr>
                <w:rFonts w:ascii="Times New Roman" w:eastAsia="宋体" w:hAnsi="Times New Roman" w:cs="Times New Roman"/>
                <w:color w:val="333333"/>
                <w:szCs w:val="21"/>
              </w:rPr>
              <w:t>床处理</w:t>
            </w:r>
            <w:proofErr w:type="gramEnd"/>
            <w:r>
              <w:rPr>
                <w:rFonts w:ascii="Times New Roman" w:eastAsia="宋体" w:hAnsi="Times New Roman" w:cs="Times New Roman"/>
                <w:color w:val="333333"/>
                <w:szCs w:val="21"/>
              </w:rPr>
              <w:t>后产生的有机肥半成品外售用作有机肥生产原料。</w:t>
            </w:r>
          </w:p>
          <w:p w:rsidR="00651188" w:rsidRDefault="00AC6FD3">
            <w:pP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3.</w:t>
            </w:r>
            <w:r>
              <w:rPr>
                <w:rFonts w:ascii="Times New Roman" w:eastAsia="宋体" w:hAnsi="Times New Roman" w:cs="Times New Roman"/>
                <w:b/>
                <w:bCs/>
                <w:color w:val="333333"/>
                <w:szCs w:val="21"/>
              </w:rPr>
              <w:t>噪声</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项目应选用低噪声设备，采购自带消声器的设备，加强日常管理维护，对采取基础减震、建筑隔声、种植高大乔木等措施，确保厂界噪声达标排放。</w:t>
            </w:r>
          </w:p>
          <w:p w:rsidR="00651188" w:rsidRDefault="00AC6FD3">
            <w:pP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4.</w:t>
            </w:r>
            <w:r>
              <w:rPr>
                <w:rFonts w:ascii="Times New Roman" w:eastAsia="宋体" w:hAnsi="Times New Roman" w:cs="Times New Roman"/>
                <w:b/>
                <w:bCs/>
                <w:color w:val="333333"/>
                <w:szCs w:val="21"/>
              </w:rPr>
              <w:t>固体废弃物</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项目猪粪进入异位发酵床处理；病死</w:t>
            </w:r>
            <w:proofErr w:type="gramStart"/>
            <w:r>
              <w:rPr>
                <w:rFonts w:ascii="Times New Roman" w:eastAsia="宋体" w:hAnsi="Times New Roman" w:cs="Times New Roman"/>
                <w:color w:val="333333"/>
                <w:szCs w:val="21"/>
              </w:rPr>
              <w:t>猪采用</w:t>
            </w:r>
            <w:proofErr w:type="gramEnd"/>
            <w:r>
              <w:rPr>
                <w:rFonts w:ascii="Times New Roman" w:eastAsia="宋体" w:hAnsi="Times New Roman" w:cs="Times New Roman"/>
                <w:color w:val="333333"/>
                <w:szCs w:val="21"/>
              </w:rPr>
              <w:t>无害化高温一体化处理机处理；医疗废物</w:t>
            </w:r>
            <w:proofErr w:type="gramStart"/>
            <w:r>
              <w:rPr>
                <w:rFonts w:ascii="Times New Roman" w:eastAsia="宋体" w:hAnsi="Times New Roman" w:cs="Times New Roman"/>
                <w:color w:val="333333"/>
                <w:szCs w:val="21"/>
              </w:rPr>
              <w:t>由危废暂存</w:t>
            </w:r>
            <w:proofErr w:type="gramEnd"/>
            <w:r>
              <w:rPr>
                <w:rFonts w:ascii="Times New Roman" w:eastAsia="宋体" w:hAnsi="Times New Roman" w:cs="Times New Roman"/>
                <w:color w:val="333333"/>
                <w:szCs w:val="21"/>
              </w:rPr>
              <w:t>间分类收集暂存后，送有资质的单位处置。生活垃圾交由环卫部门处理；废包装材料收集后出售物资回收部门。</w:t>
            </w:r>
          </w:p>
          <w:p w:rsidR="00651188" w:rsidRDefault="00AC6FD3">
            <w:pP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5.</w:t>
            </w:r>
            <w:r>
              <w:rPr>
                <w:rFonts w:ascii="Times New Roman" w:eastAsia="宋体" w:hAnsi="Times New Roman" w:cs="Times New Roman"/>
                <w:b/>
                <w:bCs/>
                <w:color w:val="333333"/>
                <w:szCs w:val="21"/>
              </w:rPr>
              <w:t>地下水</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lastRenderedPageBreak/>
              <w:t>项目地下水污染防治措施坚持</w:t>
            </w:r>
            <w:r>
              <w:rPr>
                <w:rFonts w:ascii="Times New Roman" w:eastAsia="宋体" w:hAnsi="Times New Roman" w:cs="Times New Roman"/>
                <w:color w:val="333333"/>
                <w:szCs w:val="21"/>
              </w:rPr>
              <w:t>“</w:t>
            </w:r>
            <w:r>
              <w:rPr>
                <w:rFonts w:ascii="Times New Roman" w:eastAsia="宋体" w:hAnsi="Times New Roman" w:cs="Times New Roman"/>
                <w:color w:val="333333"/>
                <w:szCs w:val="21"/>
              </w:rPr>
              <w:t>源头控制、末端防治、污染监控、应急响应</w:t>
            </w:r>
            <w:r>
              <w:rPr>
                <w:rFonts w:ascii="Times New Roman" w:eastAsia="宋体" w:hAnsi="Times New Roman" w:cs="Times New Roman"/>
                <w:color w:val="333333"/>
                <w:szCs w:val="21"/>
              </w:rPr>
              <w:t>”</w:t>
            </w:r>
            <w:r>
              <w:rPr>
                <w:rFonts w:ascii="Times New Roman" w:eastAsia="宋体" w:hAnsi="Times New Roman" w:cs="Times New Roman"/>
                <w:color w:val="333333"/>
                <w:szCs w:val="21"/>
              </w:rPr>
              <w:t>的原则，对重点防渗区，采取相应防渗措施，有效杜绝项目对区域地下水的污染。</w:t>
            </w:r>
          </w:p>
          <w:p w:rsidR="00651188" w:rsidRDefault="00AC6FD3">
            <w:pPr>
              <w:jc w:val="left"/>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三、环境风险</w:t>
            </w:r>
          </w:p>
          <w:p w:rsidR="00651188" w:rsidRDefault="00AC6FD3">
            <w:pPr>
              <w:jc w:val="left"/>
              <w:rPr>
                <w:rFonts w:ascii="Times New Roman" w:eastAsia="宋体" w:hAnsi="Times New Roman" w:cs="Times New Roman"/>
                <w:color w:val="333333"/>
                <w:szCs w:val="21"/>
              </w:rPr>
            </w:pPr>
            <w:r>
              <w:rPr>
                <w:rFonts w:ascii="Times New Roman" w:eastAsia="宋体" w:hAnsi="Times New Roman" w:cs="Times New Roman"/>
                <w:color w:val="333333"/>
                <w:szCs w:val="21"/>
              </w:rPr>
              <w:t>环</w:t>
            </w:r>
            <w:proofErr w:type="gramStart"/>
            <w:r>
              <w:rPr>
                <w:rFonts w:ascii="Times New Roman" w:eastAsia="宋体" w:hAnsi="Times New Roman" w:cs="Times New Roman"/>
                <w:color w:val="333333"/>
                <w:szCs w:val="21"/>
              </w:rPr>
              <w:t>评报告</w:t>
            </w:r>
            <w:proofErr w:type="gramEnd"/>
            <w:r>
              <w:rPr>
                <w:rFonts w:ascii="Times New Roman" w:eastAsia="宋体" w:hAnsi="Times New Roman" w:cs="Times New Roman"/>
                <w:color w:val="333333"/>
                <w:szCs w:val="21"/>
              </w:rPr>
              <w:t>通过对项目的风险识别和评价确定，本项目的环境风险最大可信事故为异位发酵床事故排放对地表水环境造成影响。项目按照环境风险事故防范要求，全面落实各项环境风险防范措施，定期排查环境隐患，加强应急演练，严防环境风险事故发生。</w:t>
            </w:r>
          </w:p>
          <w:p w:rsidR="00651188" w:rsidRDefault="008F2467">
            <w:pPr>
              <w:widowControl/>
              <w:spacing w:line="360" w:lineRule="exact"/>
              <w:jc w:val="left"/>
              <w:rPr>
                <w:rFonts w:ascii="Times New Roman" w:hAnsi="Times New Roman" w:cs="Times New Roman"/>
                <w:color w:val="000000"/>
                <w:kern w:val="0"/>
                <w:szCs w:val="21"/>
              </w:rPr>
            </w:pPr>
            <w:r>
              <w:rPr>
                <w:rFonts w:ascii="Times New Roman" w:hAnsi="Times New Roman" w:cs="Times New Roman" w:hint="eastAsia"/>
                <w:b/>
                <w:bCs/>
                <w:color w:val="000000"/>
                <w:kern w:val="0"/>
                <w:szCs w:val="21"/>
              </w:rPr>
              <w:t>四</w:t>
            </w:r>
            <w:r w:rsidR="00AC6FD3">
              <w:rPr>
                <w:rFonts w:ascii="Times New Roman" w:hAnsi="Times New Roman" w:cs="Times New Roman"/>
                <w:b/>
                <w:bCs/>
                <w:color w:val="000000"/>
                <w:kern w:val="0"/>
                <w:szCs w:val="21"/>
              </w:rPr>
              <w:t>、公众参与情况</w:t>
            </w:r>
          </w:p>
          <w:p w:rsidR="00651188" w:rsidRDefault="00AC6FD3">
            <w:pPr>
              <w:widowControl/>
              <w:spacing w:line="360" w:lineRule="exact"/>
              <w:jc w:val="left"/>
              <w:rPr>
                <w:rFonts w:ascii="Times New Roman" w:eastAsia="宋体" w:hAnsi="Times New Roman" w:cs="Times New Roman"/>
                <w:color w:val="333333"/>
                <w:szCs w:val="21"/>
              </w:rPr>
            </w:pPr>
            <w:r>
              <w:rPr>
                <w:rFonts w:ascii="Times New Roman" w:hAnsi="Times New Roman" w:cs="Times New Roman"/>
                <w:color w:val="000000"/>
                <w:kern w:val="0"/>
                <w:szCs w:val="21"/>
              </w:rPr>
              <w:t>项目进行两次网上公示、两次报纸公示及现场张贴公示，均未收到反对意见。统计结果表明，无反对意见。</w:t>
            </w:r>
          </w:p>
        </w:tc>
      </w:tr>
    </w:tbl>
    <w:p w:rsidR="00651188" w:rsidRDefault="00651188">
      <w:pPr>
        <w:ind w:firstLineChars="200" w:firstLine="560"/>
        <w:rPr>
          <w:rFonts w:ascii="仿宋_GB2312" w:eastAsia="仿宋_GB2312" w:hAnsi="仿宋_GB2312" w:cs="仿宋_GB2312"/>
          <w:color w:val="333333"/>
          <w:sz w:val="28"/>
          <w:szCs w:val="28"/>
        </w:rPr>
      </w:pPr>
    </w:p>
    <w:sectPr w:rsidR="00651188">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384" w:rsidRDefault="001B1384" w:rsidP="008F2467">
      <w:r>
        <w:separator/>
      </w:r>
    </w:p>
  </w:endnote>
  <w:endnote w:type="continuationSeparator" w:id="0">
    <w:p w:rsidR="001B1384" w:rsidRDefault="001B1384" w:rsidP="008F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CE" w:rsidRDefault="00ED65C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CE" w:rsidRDefault="00ED65C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CE" w:rsidRDefault="00ED65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384" w:rsidRDefault="001B1384" w:rsidP="008F2467">
      <w:r>
        <w:separator/>
      </w:r>
    </w:p>
  </w:footnote>
  <w:footnote w:type="continuationSeparator" w:id="0">
    <w:p w:rsidR="001B1384" w:rsidRDefault="001B1384" w:rsidP="008F2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CE" w:rsidRDefault="00ED65C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CE" w:rsidRDefault="00ED65CE" w:rsidP="00ED65CE">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CE" w:rsidRDefault="00ED65C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54735"/>
    <w:rsid w:val="001B1384"/>
    <w:rsid w:val="00651188"/>
    <w:rsid w:val="007E5545"/>
    <w:rsid w:val="008F2467"/>
    <w:rsid w:val="00AC6FD3"/>
    <w:rsid w:val="00ED65CE"/>
    <w:rsid w:val="081315FF"/>
    <w:rsid w:val="69354735"/>
    <w:rsid w:val="7A8E3BE3"/>
    <w:rsid w:val="7EEB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Pr>
      <w:rFonts w:ascii="宋体" w:eastAsia="宋体" w:hAnsi="宋体" w:cs="宋体" w:hint="eastAsia"/>
      <w:color w:val="333333"/>
      <w:sz w:val="18"/>
      <w:szCs w:val="18"/>
      <w:u w:val="none"/>
    </w:rPr>
  </w:style>
  <w:style w:type="character" w:styleId="a6">
    <w:name w:val="Hyperlink"/>
    <w:basedOn w:val="a0"/>
    <w:qFormat/>
    <w:rPr>
      <w:rFonts w:ascii="宋体" w:eastAsia="宋体" w:hAnsi="宋体" w:cs="宋体" w:hint="eastAsia"/>
      <w:color w:val="333333"/>
      <w:sz w:val="18"/>
      <w:szCs w:val="18"/>
      <w:u w:val="none"/>
    </w:rPr>
  </w:style>
  <w:style w:type="paragraph" w:styleId="a7">
    <w:name w:val="header"/>
    <w:basedOn w:val="a"/>
    <w:link w:val="Char"/>
    <w:rsid w:val="008F24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F2467"/>
    <w:rPr>
      <w:kern w:val="2"/>
      <w:sz w:val="18"/>
      <w:szCs w:val="18"/>
    </w:rPr>
  </w:style>
  <w:style w:type="paragraph" w:styleId="a8">
    <w:name w:val="footer"/>
    <w:basedOn w:val="a"/>
    <w:link w:val="Char0"/>
    <w:rsid w:val="008F2467"/>
    <w:pPr>
      <w:tabs>
        <w:tab w:val="center" w:pos="4153"/>
        <w:tab w:val="right" w:pos="8306"/>
      </w:tabs>
      <w:snapToGrid w:val="0"/>
      <w:jc w:val="left"/>
    </w:pPr>
    <w:rPr>
      <w:sz w:val="18"/>
      <w:szCs w:val="18"/>
    </w:rPr>
  </w:style>
  <w:style w:type="character" w:customStyle="1" w:styleId="Char0">
    <w:name w:val="页脚 Char"/>
    <w:basedOn w:val="a0"/>
    <w:link w:val="a8"/>
    <w:rsid w:val="008F24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Pr>
      <w:rFonts w:ascii="宋体" w:eastAsia="宋体" w:hAnsi="宋体" w:cs="宋体" w:hint="eastAsia"/>
      <w:color w:val="333333"/>
      <w:sz w:val="18"/>
      <w:szCs w:val="18"/>
      <w:u w:val="none"/>
    </w:rPr>
  </w:style>
  <w:style w:type="character" w:styleId="a6">
    <w:name w:val="Hyperlink"/>
    <w:basedOn w:val="a0"/>
    <w:qFormat/>
    <w:rPr>
      <w:rFonts w:ascii="宋体" w:eastAsia="宋体" w:hAnsi="宋体" w:cs="宋体" w:hint="eastAsia"/>
      <w:color w:val="333333"/>
      <w:sz w:val="18"/>
      <w:szCs w:val="18"/>
      <w:u w:val="none"/>
    </w:rPr>
  </w:style>
  <w:style w:type="paragraph" w:styleId="a7">
    <w:name w:val="header"/>
    <w:basedOn w:val="a"/>
    <w:link w:val="Char"/>
    <w:rsid w:val="008F24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F2467"/>
    <w:rPr>
      <w:kern w:val="2"/>
      <w:sz w:val="18"/>
      <w:szCs w:val="18"/>
    </w:rPr>
  </w:style>
  <w:style w:type="paragraph" w:styleId="a8">
    <w:name w:val="footer"/>
    <w:basedOn w:val="a"/>
    <w:link w:val="Char0"/>
    <w:rsid w:val="008F2467"/>
    <w:pPr>
      <w:tabs>
        <w:tab w:val="center" w:pos="4153"/>
        <w:tab w:val="right" w:pos="8306"/>
      </w:tabs>
      <w:snapToGrid w:val="0"/>
      <w:jc w:val="left"/>
    </w:pPr>
    <w:rPr>
      <w:sz w:val="18"/>
      <w:szCs w:val="18"/>
    </w:rPr>
  </w:style>
  <w:style w:type="character" w:customStyle="1" w:styleId="Char0">
    <w:name w:val="页脚 Char"/>
    <w:basedOn w:val="a0"/>
    <w:link w:val="a8"/>
    <w:rsid w:val="008F24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Company>Micorosoft</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在路上1413430408</dc:creator>
  <cp:lastModifiedBy>微软用户</cp:lastModifiedBy>
  <cp:revision>2</cp:revision>
  <dcterms:created xsi:type="dcterms:W3CDTF">2020-03-16T08:51:00Z</dcterms:created>
  <dcterms:modified xsi:type="dcterms:W3CDTF">2020-03-16T08:51:00Z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