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16DF" w:rsidRPr="00DC0BAA" w:rsidRDefault="00AA5F58" w:rsidP="004D16DF">
      <w:pPr>
        <w:overflowPunct w:val="0"/>
        <w:topLinePunct/>
        <w:spacing w:line="600" w:lineRule="exact"/>
        <w:jc w:val="center"/>
        <w:rPr>
          <w:rFonts w:eastAsia="方正小标宋简体"/>
          <w:sz w:val="44"/>
          <w:szCs w:val="44"/>
        </w:rPr>
      </w:pPr>
      <w:bookmarkStart w:id="0" w:name="_GoBack"/>
      <w:bookmarkEnd w:id="0"/>
      <w:proofErr w:type="gramStart"/>
      <w:r>
        <w:rPr>
          <w:rFonts w:eastAsia="方正小标宋简体" w:hint="eastAsia"/>
          <w:sz w:val="44"/>
          <w:szCs w:val="44"/>
        </w:rPr>
        <w:t>达州市</w:t>
      </w:r>
      <w:proofErr w:type="gramEnd"/>
    </w:p>
    <w:p w:rsidR="00AE1A41" w:rsidRPr="00AE1A41" w:rsidRDefault="00AE1A41" w:rsidP="00AE1A41">
      <w:pPr>
        <w:overflowPunct w:val="0"/>
        <w:topLinePunct/>
        <w:spacing w:line="600" w:lineRule="exact"/>
        <w:jc w:val="center"/>
        <w:rPr>
          <w:rFonts w:eastAsia="方正小标宋简体"/>
          <w:sz w:val="44"/>
          <w:szCs w:val="44"/>
        </w:rPr>
      </w:pPr>
      <w:r w:rsidRPr="00AE1A41">
        <w:rPr>
          <w:rFonts w:eastAsia="方正小标宋简体" w:hint="eastAsia"/>
          <w:sz w:val="44"/>
          <w:szCs w:val="44"/>
        </w:rPr>
        <w:t>县级及以上集中式饮用水水源地环境保护</w:t>
      </w:r>
    </w:p>
    <w:p w:rsidR="004D16DF" w:rsidRPr="00DC0BAA" w:rsidRDefault="00AE1A41" w:rsidP="00AE1A41">
      <w:pPr>
        <w:overflowPunct w:val="0"/>
        <w:topLinePunct/>
        <w:spacing w:line="600" w:lineRule="exact"/>
        <w:jc w:val="center"/>
        <w:rPr>
          <w:rFonts w:eastAsia="方正小标宋简体"/>
          <w:sz w:val="44"/>
          <w:szCs w:val="44"/>
        </w:rPr>
      </w:pPr>
      <w:r w:rsidRPr="00AE1A41">
        <w:rPr>
          <w:rFonts w:eastAsia="方正小标宋简体" w:hint="eastAsia"/>
          <w:sz w:val="44"/>
          <w:szCs w:val="44"/>
        </w:rPr>
        <w:t>专项行动整改任务销号</w:t>
      </w:r>
      <w:r w:rsidR="004D16DF" w:rsidRPr="00DC0BAA">
        <w:rPr>
          <w:rFonts w:eastAsia="方正小标宋简体" w:hint="eastAsia"/>
          <w:sz w:val="44"/>
          <w:szCs w:val="44"/>
        </w:rPr>
        <w:t>完成情况公示表</w:t>
      </w:r>
    </w:p>
    <w:p w:rsidR="004D16DF" w:rsidRPr="00DC0BAA" w:rsidRDefault="004D16DF" w:rsidP="004D16DF">
      <w:pPr>
        <w:overflowPunct w:val="0"/>
        <w:topLinePunct/>
        <w:rPr>
          <w:rFonts w:eastAsia="楷体_GB2312"/>
          <w:sz w:val="32"/>
          <w:szCs w:val="32"/>
        </w:rPr>
      </w:pPr>
    </w:p>
    <w:tbl>
      <w:tblPr>
        <w:tblW w:w="9203" w:type="dxa"/>
        <w:jc w:val="center"/>
        <w:tblInd w:w="-3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7076"/>
      </w:tblGrid>
      <w:tr w:rsidR="004D16DF" w:rsidRPr="00DC0BAA" w:rsidTr="00B50AC1">
        <w:trPr>
          <w:trHeight w:val="1206"/>
          <w:jc w:val="center"/>
        </w:trPr>
        <w:tc>
          <w:tcPr>
            <w:tcW w:w="2127" w:type="dxa"/>
            <w:shd w:val="clear" w:color="auto" w:fill="auto"/>
            <w:vAlign w:val="center"/>
          </w:tcPr>
          <w:p w:rsidR="004D16DF" w:rsidRPr="00DC0BAA" w:rsidRDefault="004D16DF" w:rsidP="005118F7">
            <w:pPr>
              <w:overflowPunct w:val="0"/>
              <w:topLinePunct/>
              <w:jc w:val="center"/>
              <w:rPr>
                <w:rFonts w:eastAsia="仿宋_GB2312" w:cs="宋体"/>
                <w:kern w:val="0"/>
                <w:sz w:val="32"/>
                <w:szCs w:val="32"/>
              </w:rPr>
            </w:pPr>
            <w:r w:rsidRPr="00DC0BAA">
              <w:rPr>
                <w:rFonts w:eastAsia="仿宋_GB2312" w:cs="宋体" w:hint="eastAsia"/>
                <w:kern w:val="0"/>
                <w:sz w:val="32"/>
                <w:szCs w:val="32"/>
              </w:rPr>
              <w:t>反馈问题</w:t>
            </w:r>
          </w:p>
          <w:p w:rsidR="004D16DF" w:rsidRPr="00DC0BAA" w:rsidRDefault="004D16DF" w:rsidP="005118F7">
            <w:pPr>
              <w:overflowPunct w:val="0"/>
              <w:topLinePunct/>
              <w:jc w:val="center"/>
              <w:rPr>
                <w:rFonts w:eastAsia="仿宋_GB2312" w:cs="宋体"/>
                <w:kern w:val="0"/>
                <w:sz w:val="32"/>
                <w:szCs w:val="32"/>
              </w:rPr>
            </w:pPr>
            <w:r w:rsidRPr="00DC0BAA">
              <w:rPr>
                <w:rFonts w:eastAsia="仿宋_GB2312" w:cs="宋体" w:hint="eastAsia"/>
                <w:kern w:val="0"/>
                <w:sz w:val="32"/>
                <w:szCs w:val="32"/>
              </w:rPr>
              <w:t>（整改任务）</w:t>
            </w:r>
          </w:p>
        </w:tc>
        <w:tc>
          <w:tcPr>
            <w:tcW w:w="7076" w:type="dxa"/>
            <w:shd w:val="clear" w:color="auto" w:fill="auto"/>
          </w:tcPr>
          <w:p w:rsidR="00B50AC1" w:rsidRPr="001C34B2" w:rsidRDefault="00B50AC1" w:rsidP="00B50AC1">
            <w:pPr>
              <w:spacing w:line="340" w:lineRule="exact"/>
              <w:ind w:firstLineChars="100" w:firstLine="240"/>
              <w:rPr>
                <w:rFonts w:ascii="仿宋_GB2312" w:eastAsia="仿宋_GB2312"/>
                <w:sz w:val="24"/>
              </w:rPr>
            </w:pPr>
            <w:r w:rsidRPr="001C34B2">
              <w:rPr>
                <w:rFonts w:ascii="仿宋_GB2312" w:eastAsia="仿宋_GB2312" w:hint="eastAsia"/>
                <w:sz w:val="24"/>
              </w:rPr>
              <w:t>罗江库区水源地一、二级保护区内，210省道穿越。</w:t>
            </w:r>
          </w:p>
          <w:p w:rsidR="00B50AC1" w:rsidRPr="001C34B2" w:rsidRDefault="00B50AC1" w:rsidP="00B50AC1">
            <w:pPr>
              <w:spacing w:line="340" w:lineRule="exact"/>
              <w:ind w:firstLineChars="100" w:firstLine="240"/>
              <w:rPr>
                <w:rFonts w:ascii="仿宋_GB2312" w:eastAsia="仿宋_GB2312"/>
                <w:sz w:val="24"/>
              </w:rPr>
            </w:pPr>
            <w:r w:rsidRPr="001C34B2">
              <w:rPr>
                <w:rFonts w:ascii="仿宋_GB2312" w:eastAsia="仿宋_GB2312" w:hint="eastAsia"/>
                <w:sz w:val="24"/>
              </w:rPr>
              <w:t>万源市后</w:t>
            </w:r>
            <w:proofErr w:type="gramStart"/>
            <w:r w:rsidRPr="001C34B2">
              <w:rPr>
                <w:rFonts w:ascii="仿宋_GB2312" w:eastAsia="仿宋_GB2312" w:hint="eastAsia"/>
                <w:sz w:val="24"/>
              </w:rPr>
              <w:t>河偏岩</w:t>
            </w:r>
            <w:proofErr w:type="gramEnd"/>
            <w:r w:rsidRPr="001C34B2">
              <w:rPr>
                <w:rFonts w:ascii="仿宋_GB2312" w:eastAsia="仿宋_GB2312" w:hint="eastAsia"/>
                <w:sz w:val="24"/>
              </w:rPr>
              <w:t>子水源地一级保护区内一户住户、省道347公路穿越。</w:t>
            </w:r>
          </w:p>
          <w:p w:rsidR="00B50AC1" w:rsidRPr="001C34B2" w:rsidRDefault="00B50AC1" w:rsidP="00B50AC1">
            <w:pPr>
              <w:spacing w:line="340" w:lineRule="exact"/>
              <w:ind w:firstLineChars="100" w:firstLine="240"/>
              <w:rPr>
                <w:rFonts w:ascii="仿宋_GB2312" w:eastAsia="仿宋_GB2312"/>
                <w:sz w:val="24"/>
              </w:rPr>
            </w:pPr>
            <w:r w:rsidRPr="001C34B2">
              <w:rPr>
                <w:rFonts w:ascii="仿宋_GB2312" w:eastAsia="仿宋_GB2312" w:hint="eastAsia"/>
                <w:sz w:val="24"/>
              </w:rPr>
              <w:t>大竹县乌木水库一级保护区内散户居民和百岛湖度假村房屋设施未拆除，二级保护区内有大竹县百岛</w:t>
            </w:r>
            <w:proofErr w:type="gramStart"/>
            <w:r w:rsidRPr="001C34B2">
              <w:rPr>
                <w:rFonts w:ascii="仿宋_GB2312" w:eastAsia="仿宋_GB2312" w:hint="eastAsia"/>
                <w:sz w:val="24"/>
              </w:rPr>
              <w:t>湖职业</w:t>
            </w:r>
            <w:proofErr w:type="gramEnd"/>
            <w:r w:rsidRPr="001C34B2">
              <w:rPr>
                <w:rFonts w:ascii="仿宋_GB2312" w:eastAsia="仿宋_GB2312" w:hint="eastAsia"/>
                <w:sz w:val="24"/>
              </w:rPr>
              <w:t>技术学校和3家工业企业，以及</w:t>
            </w:r>
            <w:proofErr w:type="gramStart"/>
            <w:r w:rsidRPr="001C34B2">
              <w:rPr>
                <w:rFonts w:ascii="仿宋_GB2312" w:eastAsia="仿宋_GB2312" w:hint="eastAsia"/>
                <w:sz w:val="24"/>
              </w:rPr>
              <w:t>一</w:t>
            </w:r>
            <w:proofErr w:type="gramEnd"/>
            <w:r w:rsidRPr="001C34B2">
              <w:rPr>
                <w:rFonts w:ascii="仿宋_GB2312" w:eastAsia="仿宋_GB2312" w:hint="eastAsia"/>
                <w:sz w:val="24"/>
              </w:rPr>
              <w:t>货车加水点。龙潭水库一级保护区存在散户居民。</w:t>
            </w:r>
          </w:p>
          <w:p w:rsidR="00B50AC1" w:rsidRPr="001C34B2" w:rsidRDefault="00B50AC1" w:rsidP="00B50AC1">
            <w:pPr>
              <w:spacing w:line="340" w:lineRule="exact"/>
              <w:ind w:firstLineChars="100" w:firstLine="240"/>
              <w:rPr>
                <w:rFonts w:ascii="仿宋_GB2312" w:eastAsia="仿宋_GB2312"/>
                <w:sz w:val="24"/>
              </w:rPr>
            </w:pPr>
            <w:r w:rsidRPr="001C34B2">
              <w:rPr>
                <w:rFonts w:ascii="仿宋_GB2312" w:eastAsia="仿宋_GB2312" w:hint="eastAsia"/>
                <w:sz w:val="24"/>
              </w:rPr>
              <w:t>开江县宝石桥水库一级保护区内52户生活污水及垃圾，有垂钓者。取水口附近有民用码头和1古墓，无防护措施及警示标牌。二级保护区内有四家餐饮企业的生活污水和少量垃圾，存在旅游项目，设有售票窗口，重庆气矿开江作业区五科1井的生产废水通过车辆运输，存在较大隐患。一、二级保护区内有多个村民用码头及游船渡口，未设置规范标识标牌及警示标牌。</w:t>
            </w:r>
          </w:p>
          <w:p w:rsidR="004D16DF" w:rsidRPr="00DC0BAA" w:rsidRDefault="00B50AC1" w:rsidP="00B50AC1">
            <w:pPr>
              <w:overflowPunct w:val="0"/>
              <w:topLinePunct/>
              <w:spacing w:line="340" w:lineRule="exact"/>
              <w:ind w:firstLineChars="100" w:firstLine="240"/>
              <w:jc w:val="left"/>
              <w:rPr>
                <w:rFonts w:eastAsia="楷体_GB2312"/>
                <w:kern w:val="0"/>
                <w:sz w:val="36"/>
                <w:szCs w:val="36"/>
              </w:rPr>
            </w:pPr>
            <w:r w:rsidRPr="001C34B2">
              <w:rPr>
                <w:rFonts w:ascii="仿宋_GB2312" w:eastAsia="仿宋_GB2312" w:hint="eastAsia"/>
                <w:sz w:val="24"/>
              </w:rPr>
              <w:t>宣汉县后河徐家坡水源地保护区未经省政府批复。</w:t>
            </w:r>
          </w:p>
        </w:tc>
      </w:tr>
      <w:tr w:rsidR="004D16DF" w:rsidRPr="00DC0BAA" w:rsidTr="00B50AC1">
        <w:trPr>
          <w:trHeight w:val="571"/>
          <w:jc w:val="center"/>
        </w:trPr>
        <w:tc>
          <w:tcPr>
            <w:tcW w:w="2127" w:type="dxa"/>
            <w:shd w:val="clear" w:color="auto" w:fill="auto"/>
            <w:vAlign w:val="center"/>
          </w:tcPr>
          <w:p w:rsidR="004D16DF" w:rsidRPr="00DC0BAA" w:rsidRDefault="004D16DF" w:rsidP="005118F7">
            <w:pPr>
              <w:overflowPunct w:val="0"/>
              <w:topLinePunct/>
              <w:jc w:val="center"/>
              <w:rPr>
                <w:rFonts w:eastAsia="仿宋_GB2312" w:cs="宋体"/>
                <w:kern w:val="0"/>
                <w:sz w:val="32"/>
                <w:szCs w:val="32"/>
              </w:rPr>
            </w:pPr>
            <w:r w:rsidRPr="00DC0BAA">
              <w:rPr>
                <w:rFonts w:eastAsia="仿宋_GB2312" w:cs="宋体" w:hint="eastAsia"/>
                <w:kern w:val="0"/>
                <w:sz w:val="32"/>
                <w:szCs w:val="32"/>
              </w:rPr>
              <w:t>责任单位</w:t>
            </w:r>
          </w:p>
        </w:tc>
        <w:tc>
          <w:tcPr>
            <w:tcW w:w="7076" w:type="dxa"/>
            <w:shd w:val="clear" w:color="auto" w:fill="auto"/>
            <w:vAlign w:val="center"/>
          </w:tcPr>
          <w:p w:rsidR="004D16DF" w:rsidRPr="00B50AC1" w:rsidRDefault="00B50AC1" w:rsidP="00B50AC1">
            <w:pPr>
              <w:overflowPunct w:val="0"/>
              <w:topLinePunct/>
              <w:jc w:val="center"/>
              <w:rPr>
                <w:rFonts w:ascii="仿宋_GB2312" w:eastAsia="仿宋_GB2312"/>
                <w:kern w:val="0"/>
                <w:sz w:val="32"/>
                <w:szCs w:val="32"/>
              </w:rPr>
            </w:pPr>
            <w:proofErr w:type="gramStart"/>
            <w:r w:rsidRPr="00B50AC1">
              <w:rPr>
                <w:rFonts w:ascii="仿宋_GB2312" w:eastAsia="仿宋_GB2312" w:hint="eastAsia"/>
                <w:kern w:val="0"/>
                <w:sz w:val="32"/>
                <w:szCs w:val="32"/>
              </w:rPr>
              <w:t>达州市</w:t>
            </w:r>
            <w:proofErr w:type="gramEnd"/>
            <w:r w:rsidRPr="00B50AC1">
              <w:rPr>
                <w:rFonts w:ascii="仿宋_GB2312" w:eastAsia="仿宋_GB2312" w:hint="eastAsia"/>
                <w:kern w:val="0"/>
                <w:sz w:val="32"/>
                <w:szCs w:val="32"/>
              </w:rPr>
              <w:t>环境保护局</w:t>
            </w:r>
            <w:r>
              <w:rPr>
                <w:rFonts w:ascii="仿宋_GB2312" w:eastAsia="仿宋_GB2312" w:hint="eastAsia"/>
                <w:kern w:val="0"/>
                <w:sz w:val="32"/>
                <w:szCs w:val="32"/>
              </w:rPr>
              <w:t xml:space="preserve">    </w:t>
            </w:r>
            <w:proofErr w:type="gramStart"/>
            <w:r w:rsidRPr="00B50AC1">
              <w:rPr>
                <w:rFonts w:ascii="仿宋_GB2312" w:eastAsia="仿宋_GB2312" w:hint="eastAsia"/>
                <w:kern w:val="0"/>
                <w:sz w:val="32"/>
                <w:szCs w:val="32"/>
              </w:rPr>
              <w:t>达州市</w:t>
            </w:r>
            <w:proofErr w:type="gramEnd"/>
            <w:r w:rsidRPr="00B50AC1">
              <w:rPr>
                <w:rFonts w:ascii="仿宋_GB2312" w:eastAsia="仿宋_GB2312" w:hint="eastAsia"/>
                <w:kern w:val="0"/>
                <w:sz w:val="32"/>
                <w:szCs w:val="32"/>
              </w:rPr>
              <w:t>水</w:t>
            </w:r>
            <w:proofErr w:type="gramStart"/>
            <w:r w:rsidRPr="00B50AC1">
              <w:rPr>
                <w:rFonts w:ascii="仿宋_GB2312" w:eastAsia="仿宋_GB2312" w:hint="eastAsia"/>
                <w:kern w:val="0"/>
                <w:sz w:val="32"/>
                <w:szCs w:val="32"/>
              </w:rPr>
              <w:t>务</w:t>
            </w:r>
            <w:proofErr w:type="gramEnd"/>
            <w:r w:rsidRPr="00B50AC1">
              <w:rPr>
                <w:rFonts w:ascii="仿宋_GB2312" w:eastAsia="仿宋_GB2312" w:hint="eastAsia"/>
                <w:kern w:val="0"/>
                <w:sz w:val="32"/>
                <w:szCs w:val="32"/>
              </w:rPr>
              <w:t>局</w:t>
            </w:r>
          </w:p>
        </w:tc>
      </w:tr>
      <w:tr w:rsidR="004D16DF" w:rsidRPr="00DC0BAA" w:rsidTr="00B50AC1">
        <w:trPr>
          <w:trHeight w:val="651"/>
          <w:jc w:val="center"/>
        </w:trPr>
        <w:tc>
          <w:tcPr>
            <w:tcW w:w="2127" w:type="dxa"/>
            <w:shd w:val="clear" w:color="auto" w:fill="auto"/>
            <w:vAlign w:val="center"/>
          </w:tcPr>
          <w:p w:rsidR="004D16DF" w:rsidRPr="00DC0BAA" w:rsidRDefault="004D16DF" w:rsidP="005118F7">
            <w:pPr>
              <w:overflowPunct w:val="0"/>
              <w:topLinePunct/>
              <w:jc w:val="center"/>
              <w:rPr>
                <w:rFonts w:eastAsia="仿宋_GB2312" w:cs="宋体"/>
                <w:kern w:val="0"/>
                <w:sz w:val="32"/>
                <w:szCs w:val="32"/>
              </w:rPr>
            </w:pPr>
            <w:r w:rsidRPr="00DC0BAA">
              <w:rPr>
                <w:rFonts w:eastAsia="仿宋_GB2312" w:cs="宋体" w:hint="eastAsia"/>
                <w:kern w:val="0"/>
                <w:sz w:val="32"/>
                <w:szCs w:val="32"/>
              </w:rPr>
              <w:t>责任人</w:t>
            </w:r>
          </w:p>
        </w:tc>
        <w:tc>
          <w:tcPr>
            <w:tcW w:w="7076" w:type="dxa"/>
            <w:shd w:val="clear" w:color="auto" w:fill="auto"/>
            <w:vAlign w:val="center"/>
          </w:tcPr>
          <w:p w:rsidR="004D16DF" w:rsidRPr="00DC0BAA" w:rsidRDefault="00B50AC1" w:rsidP="00846F91">
            <w:pPr>
              <w:overflowPunct w:val="0"/>
              <w:topLinePunct/>
              <w:jc w:val="center"/>
              <w:rPr>
                <w:rFonts w:eastAsia="楷体_GB2312"/>
                <w:kern w:val="0"/>
                <w:sz w:val="36"/>
                <w:szCs w:val="36"/>
              </w:rPr>
            </w:pPr>
            <w:r w:rsidRPr="00B50AC1">
              <w:rPr>
                <w:rFonts w:ascii="仿宋_GB2312" w:eastAsia="仿宋_GB2312" w:hint="eastAsia"/>
                <w:kern w:val="0"/>
                <w:sz w:val="32"/>
                <w:szCs w:val="32"/>
              </w:rPr>
              <w:t xml:space="preserve">袁勇    </w:t>
            </w:r>
            <w:r w:rsidR="00846F91">
              <w:rPr>
                <w:rFonts w:ascii="仿宋_GB2312" w:eastAsia="仿宋_GB2312" w:hint="eastAsia"/>
                <w:kern w:val="0"/>
                <w:sz w:val="32"/>
                <w:szCs w:val="32"/>
              </w:rPr>
              <w:t>李晓华</w:t>
            </w:r>
          </w:p>
        </w:tc>
      </w:tr>
      <w:tr w:rsidR="004D16DF" w:rsidRPr="00DC0BAA" w:rsidTr="00B50AC1">
        <w:trPr>
          <w:trHeight w:val="562"/>
          <w:jc w:val="center"/>
        </w:trPr>
        <w:tc>
          <w:tcPr>
            <w:tcW w:w="2127" w:type="dxa"/>
            <w:shd w:val="clear" w:color="auto" w:fill="auto"/>
            <w:vAlign w:val="center"/>
          </w:tcPr>
          <w:p w:rsidR="004D16DF" w:rsidRPr="00DC0BAA" w:rsidRDefault="004D16DF" w:rsidP="005118F7">
            <w:pPr>
              <w:overflowPunct w:val="0"/>
              <w:topLinePunct/>
              <w:jc w:val="center"/>
              <w:rPr>
                <w:rFonts w:eastAsia="仿宋_GB2312" w:cs="宋体"/>
                <w:kern w:val="0"/>
                <w:sz w:val="32"/>
                <w:szCs w:val="32"/>
              </w:rPr>
            </w:pPr>
            <w:r w:rsidRPr="00DC0BAA">
              <w:rPr>
                <w:rFonts w:eastAsia="仿宋_GB2312" w:cs="宋体" w:hint="eastAsia"/>
                <w:kern w:val="0"/>
                <w:sz w:val="32"/>
                <w:szCs w:val="32"/>
              </w:rPr>
              <w:t>联系电话</w:t>
            </w:r>
          </w:p>
        </w:tc>
        <w:tc>
          <w:tcPr>
            <w:tcW w:w="7076" w:type="dxa"/>
            <w:shd w:val="clear" w:color="auto" w:fill="auto"/>
            <w:vAlign w:val="center"/>
          </w:tcPr>
          <w:p w:rsidR="004D16DF" w:rsidRPr="00B50AC1" w:rsidRDefault="00B50AC1" w:rsidP="00B50AC1">
            <w:pPr>
              <w:overflowPunct w:val="0"/>
              <w:topLinePunct/>
              <w:jc w:val="center"/>
              <w:rPr>
                <w:rFonts w:ascii="仿宋_GB2312" w:eastAsia="仿宋_GB2312"/>
                <w:kern w:val="0"/>
                <w:sz w:val="32"/>
                <w:szCs w:val="32"/>
              </w:rPr>
            </w:pPr>
            <w:r w:rsidRPr="00B50AC1">
              <w:rPr>
                <w:rFonts w:ascii="仿宋_GB2312" w:eastAsia="仿宋_GB2312" w:hint="eastAsia"/>
                <w:kern w:val="0"/>
                <w:sz w:val="32"/>
                <w:szCs w:val="32"/>
              </w:rPr>
              <w:t>0818—2659592</w:t>
            </w:r>
          </w:p>
        </w:tc>
      </w:tr>
      <w:tr w:rsidR="004D16DF" w:rsidRPr="00DC0BAA" w:rsidTr="00B50AC1">
        <w:trPr>
          <w:trHeight w:val="769"/>
          <w:jc w:val="center"/>
        </w:trPr>
        <w:tc>
          <w:tcPr>
            <w:tcW w:w="2127" w:type="dxa"/>
            <w:shd w:val="clear" w:color="auto" w:fill="auto"/>
            <w:vAlign w:val="center"/>
          </w:tcPr>
          <w:p w:rsidR="004D16DF" w:rsidRPr="00DC0BAA" w:rsidRDefault="004D16DF" w:rsidP="005118F7">
            <w:pPr>
              <w:overflowPunct w:val="0"/>
              <w:topLinePunct/>
              <w:jc w:val="center"/>
              <w:rPr>
                <w:rFonts w:eastAsia="仿宋_GB2312" w:cs="宋体"/>
                <w:kern w:val="0"/>
                <w:sz w:val="32"/>
                <w:szCs w:val="32"/>
              </w:rPr>
            </w:pPr>
            <w:r w:rsidRPr="00DC0BAA">
              <w:rPr>
                <w:rFonts w:eastAsia="仿宋_GB2312" w:cs="宋体" w:hint="eastAsia"/>
                <w:kern w:val="0"/>
                <w:sz w:val="32"/>
                <w:szCs w:val="32"/>
              </w:rPr>
              <w:t>整改目标</w:t>
            </w:r>
          </w:p>
        </w:tc>
        <w:tc>
          <w:tcPr>
            <w:tcW w:w="7076" w:type="dxa"/>
            <w:shd w:val="clear" w:color="auto" w:fill="auto"/>
            <w:vAlign w:val="center"/>
          </w:tcPr>
          <w:p w:rsidR="004D16DF" w:rsidRPr="00DC0BAA" w:rsidRDefault="00B50AC1" w:rsidP="00B50AC1">
            <w:pPr>
              <w:overflowPunct w:val="0"/>
              <w:topLinePunct/>
              <w:jc w:val="center"/>
              <w:rPr>
                <w:rFonts w:eastAsia="楷体_GB2312"/>
                <w:kern w:val="0"/>
                <w:sz w:val="36"/>
                <w:szCs w:val="36"/>
              </w:rPr>
            </w:pPr>
            <w:r w:rsidRPr="001C34B2">
              <w:rPr>
                <w:rFonts w:ascii="仿宋_GB2312" w:eastAsia="仿宋_GB2312" w:hint="eastAsia"/>
                <w:sz w:val="24"/>
              </w:rPr>
              <w:t>2018年12月底前全面整治完成水源地环境问题。</w:t>
            </w:r>
          </w:p>
        </w:tc>
      </w:tr>
      <w:tr w:rsidR="004D16DF" w:rsidRPr="00DC0BAA" w:rsidTr="00B50AC1">
        <w:trPr>
          <w:trHeight w:val="1123"/>
          <w:jc w:val="center"/>
        </w:trPr>
        <w:tc>
          <w:tcPr>
            <w:tcW w:w="2127" w:type="dxa"/>
            <w:shd w:val="clear" w:color="auto" w:fill="auto"/>
            <w:vAlign w:val="center"/>
          </w:tcPr>
          <w:p w:rsidR="004D16DF" w:rsidRPr="00DC0BAA" w:rsidRDefault="004D16DF" w:rsidP="005118F7">
            <w:pPr>
              <w:overflowPunct w:val="0"/>
              <w:topLinePunct/>
              <w:jc w:val="center"/>
              <w:rPr>
                <w:rFonts w:eastAsia="仿宋_GB2312" w:cs="宋体"/>
                <w:kern w:val="0"/>
                <w:sz w:val="32"/>
                <w:szCs w:val="32"/>
              </w:rPr>
            </w:pPr>
            <w:r w:rsidRPr="00DC0BAA">
              <w:rPr>
                <w:rFonts w:eastAsia="仿宋_GB2312" w:cs="宋体" w:hint="eastAsia"/>
                <w:kern w:val="0"/>
                <w:sz w:val="32"/>
                <w:szCs w:val="32"/>
              </w:rPr>
              <w:t>整改措施</w:t>
            </w:r>
          </w:p>
        </w:tc>
        <w:tc>
          <w:tcPr>
            <w:tcW w:w="7076" w:type="dxa"/>
            <w:shd w:val="clear" w:color="auto" w:fill="auto"/>
          </w:tcPr>
          <w:p w:rsidR="00B50AC1" w:rsidRDefault="00B50AC1" w:rsidP="00B50AC1">
            <w:pPr>
              <w:spacing w:line="320" w:lineRule="exact"/>
              <w:rPr>
                <w:rFonts w:ascii="仿宋_GB2312" w:eastAsia="仿宋_GB2312"/>
                <w:sz w:val="24"/>
              </w:rPr>
            </w:pPr>
            <w:r w:rsidRPr="001C34B2">
              <w:rPr>
                <w:rFonts w:ascii="仿宋_GB2312" w:eastAsia="仿宋_GB2312" w:hint="eastAsia"/>
                <w:sz w:val="24"/>
              </w:rPr>
              <w:t>后</w:t>
            </w:r>
            <w:proofErr w:type="gramStart"/>
            <w:r w:rsidRPr="001C34B2">
              <w:rPr>
                <w:rFonts w:ascii="仿宋_GB2312" w:eastAsia="仿宋_GB2312" w:hint="eastAsia"/>
                <w:sz w:val="24"/>
              </w:rPr>
              <w:t>河偏岩</w:t>
            </w:r>
            <w:proofErr w:type="gramEnd"/>
            <w:r w:rsidRPr="001C34B2">
              <w:rPr>
                <w:rFonts w:ascii="仿宋_GB2312" w:eastAsia="仿宋_GB2312" w:hint="eastAsia"/>
                <w:sz w:val="24"/>
              </w:rPr>
              <w:t>子水源地整改措施：</w:t>
            </w:r>
          </w:p>
          <w:p w:rsidR="00B50AC1"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1.一级保护区的一户住户进行搬迁，耕地实行退耕还林。</w:t>
            </w:r>
          </w:p>
          <w:p w:rsidR="00B50AC1"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2.完善防撞护栏、事故导流</w:t>
            </w:r>
            <w:proofErr w:type="gramStart"/>
            <w:r w:rsidRPr="001C34B2">
              <w:rPr>
                <w:rFonts w:ascii="仿宋_GB2312" w:eastAsia="仿宋_GB2312" w:hint="eastAsia"/>
                <w:sz w:val="24"/>
              </w:rPr>
              <w:t>漕</w:t>
            </w:r>
            <w:proofErr w:type="gramEnd"/>
            <w:r w:rsidRPr="001C34B2">
              <w:rPr>
                <w:rFonts w:ascii="仿宋_GB2312" w:eastAsia="仿宋_GB2312" w:hint="eastAsia"/>
                <w:sz w:val="24"/>
              </w:rPr>
              <w:t>、应急池等应急设施，设置交通警示牌。</w:t>
            </w:r>
          </w:p>
          <w:p w:rsidR="00B50AC1" w:rsidRDefault="00B50AC1" w:rsidP="00B50AC1">
            <w:pPr>
              <w:spacing w:line="320" w:lineRule="exact"/>
              <w:rPr>
                <w:rFonts w:ascii="仿宋_GB2312" w:eastAsia="仿宋_GB2312"/>
                <w:sz w:val="24"/>
              </w:rPr>
            </w:pPr>
            <w:r w:rsidRPr="001C34B2">
              <w:rPr>
                <w:rFonts w:ascii="仿宋_GB2312" w:eastAsia="仿宋_GB2312" w:hint="eastAsia"/>
                <w:sz w:val="24"/>
              </w:rPr>
              <w:t>开江县宝石桥水库整改措施：</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3.及时清理库区垃圾，52户住户搬迁。</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4.依法查处库区内旅游餐饮企业的环境违法行为。</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5.迅速制定整改方案，关停旅游项目，游船彻底取缔。</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6.制定整改方案，排除安全隐患，合理规划运输路线，杜绝气井废水运输车辆穿越二级保护区。</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7.加大联合执法力度，开展常态化巡逻，库区垃圾彻底清除.</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8.取缔一、二级保护区内不合理设置的码头。合理设置码头，解</w:t>
            </w:r>
            <w:r w:rsidRPr="001C34B2">
              <w:rPr>
                <w:rFonts w:ascii="仿宋_GB2312" w:eastAsia="仿宋_GB2312" w:hint="eastAsia"/>
                <w:sz w:val="24"/>
              </w:rPr>
              <w:lastRenderedPageBreak/>
              <w:t>决村民出行问题，做好陆路出行道路规划和建设方案。</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9.立即整改，一级保护区内禁止船舶通行，禁止游船、渔船在二级保护区内运行。</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10.对取水口选址进行论证，进行物理隔离，设立隔离网，安装视频监控，一级保护区内民用码头进行取缔，古墓进行搬迁。</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11.规范设置标识标牌，公路沿线设置标识牌。</w:t>
            </w:r>
          </w:p>
          <w:p w:rsidR="00B50AC1" w:rsidRDefault="00B50AC1" w:rsidP="00B50AC1">
            <w:pPr>
              <w:spacing w:line="320" w:lineRule="exact"/>
              <w:rPr>
                <w:rFonts w:ascii="仿宋_GB2312" w:eastAsia="仿宋_GB2312"/>
                <w:sz w:val="24"/>
              </w:rPr>
            </w:pPr>
            <w:r w:rsidRPr="001C34B2">
              <w:rPr>
                <w:rFonts w:ascii="仿宋_GB2312" w:eastAsia="仿宋_GB2312" w:hint="eastAsia"/>
                <w:sz w:val="24"/>
              </w:rPr>
              <w:t>大竹县乌木水库、龙潭水库整改措施：</w:t>
            </w:r>
          </w:p>
          <w:p w:rsidR="00B50AC1"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12.搬迁一级保护区居民，大竹县百岛湖职业技术学校污水处理后不再进入乌木水库。</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13.</w:t>
            </w:r>
            <w:proofErr w:type="gramStart"/>
            <w:r w:rsidRPr="001C34B2">
              <w:rPr>
                <w:rFonts w:ascii="仿宋_GB2312" w:eastAsia="仿宋_GB2312" w:hint="eastAsia"/>
                <w:sz w:val="24"/>
              </w:rPr>
              <w:t>元亨煤矿井</w:t>
            </w:r>
            <w:proofErr w:type="gramEnd"/>
            <w:r w:rsidRPr="001C34B2">
              <w:rPr>
                <w:rFonts w:ascii="仿宋_GB2312" w:eastAsia="仿宋_GB2312" w:hint="eastAsia"/>
                <w:sz w:val="24"/>
              </w:rPr>
              <w:t>下废水及地面废水排污口的拆除，关闭通亿</w:t>
            </w:r>
            <w:proofErr w:type="gramStart"/>
            <w:r w:rsidRPr="001C34B2">
              <w:rPr>
                <w:rFonts w:ascii="仿宋_GB2312" w:eastAsia="仿宋_GB2312" w:hint="eastAsia"/>
                <w:sz w:val="24"/>
              </w:rPr>
              <w:t>矸</w:t>
            </w:r>
            <w:proofErr w:type="gramEnd"/>
            <w:r w:rsidRPr="001C34B2">
              <w:rPr>
                <w:rFonts w:ascii="仿宋_GB2312" w:eastAsia="仿宋_GB2312" w:hint="eastAsia"/>
                <w:sz w:val="24"/>
              </w:rPr>
              <w:t>砖厂、观音洞石厂。</w:t>
            </w:r>
          </w:p>
          <w:p w:rsidR="00B50AC1" w:rsidRPr="001C34B2" w:rsidRDefault="00B50AC1" w:rsidP="00B50AC1">
            <w:pPr>
              <w:spacing w:line="320" w:lineRule="exact"/>
              <w:rPr>
                <w:rFonts w:ascii="仿宋_GB2312" w:eastAsia="仿宋_GB2312"/>
                <w:sz w:val="24"/>
              </w:rPr>
            </w:pPr>
            <w:r w:rsidRPr="001C34B2">
              <w:rPr>
                <w:rFonts w:ascii="仿宋_GB2312" w:eastAsia="仿宋_GB2312" w:hint="eastAsia"/>
                <w:sz w:val="24"/>
              </w:rPr>
              <w:t>罗江库区水源地整改措施：立行立改，一、二级保护区内安装各类标识、标牌以及补齐</w:t>
            </w:r>
            <w:proofErr w:type="gramStart"/>
            <w:r w:rsidRPr="001C34B2">
              <w:rPr>
                <w:rFonts w:ascii="仿宋_GB2312" w:eastAsia="仿宋_GB2312" w:hint="eastAsia"/>
                <w:sz w:val="24"/>
              </w:rPr>
              <w:t>沿线波型梁</w:t>
            </w:r>
            <w:proofErr w:type="gramEnd"/>
            <w:r w:rsidRPr="001C34B2">
              <w:rPr>
                <w:rFonts w:ascii="仿宋_GB2312" w:eastAsia="仿宋_GB2312" w:hint="eastAsia"/>
                <w:sz w:val="24"/>
              </w:rPr>
              <w:t>护栏。</w:t>
            </w:r>
          </w:p>
          <w:p w:rsidR="004D16DF" w:rsidRPr="00DC0BAA" w:rsidRDefault="00B50AC1" w:rsidP="00B50AC1">
            <w:pPr>
              <w:overflowPunct w:val="0"/>
              <w:topLinePunct/>
              <w:spacing w:line="320" w:lineRule="exact"/>
              <w:jc w:val="left"/>
              <w:rPr>
                <w:rFonts w:eastAsia="楷体_GB2312"/>
                <w:kern w:val="0"/>
                <w:sz w:val="36"/>
                <w:szCs w:val="36"/>
              </w:rPr>
            </w:pPr>
            <w:r w:rsidRPr="001C34B2">
              <w:rPr>
                <w:rFonts w:ascii="仿宋_GB2312" w:eastAsia="仿宋_GB2312" w:hint="eastAsia"/>
                <w:sz w:val="24"/>
              </w:rPr>
              <w:t>宣汉后河徐家坡水源地整改措施：按照要求编制技术报告，划定饮用水水源地保护区，上报省政府批准。</w:t>
            </w:r>
          </w:p>
        </w:tc>
      </w:tr>
      <w:tr w:rsidR="004D16DF" w:rsidRPr="00B64290" w:rsidTr="00B50AC1">
        <w:trPr>
          <w:trHeight w:val="1974"/>
          <w:jc w:val="center"/>
        </w:trPr>
        <w:tc>
          <w:tcPr>
            <w:tcW w:w="2127" w:type="dxa"/>
            <w:shd w:val="clear" w:color="auto" w:fill="auto"/>
            <w:vAlign w:val="center"/>
          </w:tcPr>
          <w:p w:rsidR="00B50AC1" w:rsidRDefault="004D16DF" w:rsidP="005118F7">
            <w:pPr>
              <w:overflowPunct w:val="0"/>
              <w:topLinePunct/>
              <w:jc w:val="center"/>
              <w:rPr>
                <w:rFonts w:eastAsia="仿宋_GB2312" w:cs="宋体"/>
                <w:kern w:val="0"/>
                <w:sz w:val="32"/>
                <w:szCs w:val="32"/>
              </w:rPr>
            </w:pPr>
            <w:r w:rsidRPr="00DC0BAA">
              <w:rPr>
                <w:rFonts w:eastAsia="仿宋_GB2312" w:cs="宋体" w:hint="eastAsia"/>
                <w:kern w:val="0"/>
                <w:sz w:val="32"/>
                <w:szCs w:val="32"/>
              </w:rPr>
              <w:lastRenderedPageBreak/>
              <w:t>整改主要</w:t>
            </w:r>
          </w:p>
          <w:p w:rsidR="004D16DF" w:rsidRPr="00B50AC1" w:rsidRDefault="004D16DF" w:rsidP="00B50AC1">
            <w:pPr>
              <w:overflowPunct w:val="0"/>
              <w:topLinePunct/>
              <w:jc w:val="center"/>
              <w:rPr>
                <w:rFonts w:eastAsia="仿宋_GB2312" w:cs="宋体"/>
                <w:kern w:val="0"/>
                <w:sz w:val="32"/>
                <w:szCs w:val="32"/>
              </w:rPr>
            </w:pPr>
            <w:r w:rsidRPr="00DC0BAA">
              <w:rPr>
                <w:rFonts w:eastAsia="仿宋_GB2312" w:cs="宋体" w:hint="eastAsia"/>
                <w:kern w:val="0"/>
                <w:sz w:val="32"/>
                <w:szCs w:val="32"/>
              </w:rPr>
              <w:t>工作及成效</w:t>
            </w:r>
          </w:p>
        </w:tc>
        <w:tc>
          <w:tcPr>
            <w:tcW w:w="7076" w:type="dxa"/>
            <w:shd w:val="clear" w:color="auto" w:fill="auto"/>
          </w:tcPr>
          <w:p w:rsidR="00B50AC1" w:rsidRPr="001C34B2" w:rsidRDefault="00B50AC1" w:rsidP="00B50AC1">
            <w:pPr>
              <w:spacing w:line="320" w:lineRule="exact"/>
              <w:ind w:firstLineChars="100" w:firstLine="240"/>
              <w:rPr>
                <w:rFonts w:ascii="仿宋_GB2312" w:eastAsia="仿宋_GB2312" w:hAnsi="方正仿宋简体" w:cs="方正仿宋简体"/>
                <w:sz w:val="24"/>
              </w:rPr>
            </w:pPr>
            <w:r w:rsidRPr="001C34B2">
              <w:rPr>
                <w:rFonts w:ascii="仿宋_GB2312" w:eastAsia="仿宋_GB2312" w:hAnsi="方正仿宋简体" w:cs="方正仿宋简体" w:hint="eastAsia"/>
                <w:sz w:val="24"/>
              </w:rPr>
              <w:t>万源市搬迁一级保护区内住户1户，新建防撞墙5.2公里，</w:t>
            </w:r>
            <w:proofErr w:type="gramStart"/>
            <w:r w:rsidRPr="001C34B2">
              <w:rPr>
                <w:rFonts w:ascii="仿宋_GB2312" w:eastAsia="仿宋_GB2312" w:hAnsi="方正仿宋简体" w:cs="方正仿宋简体" w:hint="eastAsia"/>
                <w:sz w:val="24"/>
              </w:rPr>
              <w:t>防抛网</w:t>
            </w:r>
            <w:proofErr w:type="gramEnd"/>
            <w:r w:rsidRPr="001C34B2">
              <w:rPr>
                <w:rFonts w:ascii="仿宋_GB2312" w:eastAsia="仿宋_GB2312" w:hAnsi="方正仿宋简体" w:cs="方正仿宋简体" w:hint="eastAsia"/>
                <w:sz w:val="24"/>
              </w:rPr>
              <w:t>2公里，事故导流槽2公里，应急池3个。</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开江县搬迁一级保护区内住户52户、古墓1处，4家农家乐全部取缔。宝石桥水库规范设置标识标牌，取水口实行物理隔离、视频监控，附近便民道路施工完成。库区暂停捕鱼，实行常态化违</w:t>
            </w:r>
            <w:proofErr w:type="gramStart"/>
            <w:r w:rsidRPr="001C34B2">
              <w:rPr>
                <w:rFonts w:ascii="仿宋_GB2312" w:eastAsia="仿宋_GB2312" w:hint="eastAsia"/>
                <w:sz w:val="24"/>
              </w:rPr>
              <w:t>钓违游巡查</w:t>
            </w:r>
            <w:proofErr w:type="gramEnd"/>
            <w:r w:rsidRPr="001C34B2">
              <w:rPr>
                <w:rFonts w:ascii="仿宋_GB2312" w:eastAsia="仿宋_GB2312" w:hint="eastAsia"/>
                <w:sz w:val="24"/>
              </w:rPr>
              <w:t>，封停渔船，取缔游船，五科一井路段修建防撞墙，完善气田水应急设施，改造</w:t>
            </w:r>
            <w:proofErr w:type="gramStart"/>
            <w:r w:rsidRPr="001C34B2">
              <w:rPr>
                <w:rFonts w:ascii="仿宋_GB2312" w:eastAsia="仿宋_GB2312" w:hint="eastAsia"/>
                <w:sz w:val="24"/>
              </w:rPr>
              <w:t>气液混输</w:t>
            </w:r>
            <w:proofErr w:type="gramEnd"/>
            <w:r w:rsidRPr="001C34B2">
              <w:rPr>
                <w:rFonts w:ascii="仿宋_GB2312" w:eastAsia="仿宋_GB2312" w:hint="eastAsia"/>
                <w:sz w:val="24"/>
              </w:rPr>
              <w:t>方式，拆除站内气液分离器、药剂罐等设施，</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大竹县搬迁一级保护区内住户35户，大竹县百岛湖职业技术学校污水经处理后达标排放到黄滩河，未进入库区。元亨煤矿的井下废水及地面废水排污口已拆除，该矿一直处于停产状态。大竹县通亿矸砖厂、观音洞石厂已关闭。百岛湖度假村已完成拆除。货车加水点的出水管道已拆除。</w:t>
            </w:r>
          </w:p>
          <w:p w:rsidR="00B50AC1" w:rsidRPr="001C34B2" w:rsidRDefault="00B50AC1" w:rsidP="00B50AC1">
            <w:pPr>
              <w:spacing w:line="320" w:lineRule="exact"/>
              <w:ind w:firstLineChars="100" w:firstLine="240"/>
              <w:rPr>
                <w:rFonts w:ascii="仿宋_GB2312" w:eastAsia="仿宋_GB2312"/>
                <w:sz w:val="24"/>
              </w:rPr>
            </w:pPr>
            <w:r w:rsidRPr="001C34B2">
              <w:rPr>
                <w:rFonts w:ascii="仿宋_GB2312" w:eastAsia="仿宋_GB2312" w:hint="eastAsia"/>
                <w:sz w:val="24"/>
              </w:rPr>
              <w:t>罗江库区安装标识标牌11块，安装</w:t>
            </w:r>
            <w:proofErr w:type="gramStart"/>
            <w:r w:rsidRPr="001C34B2">
              <w:rPr>
                <w:rFonts w:ascii="仿宋_GB2312" w:eastAsia="仿宋_GB2312" w:hint="eastAsia"/>
                <w:sz w:val="24"/>
              </w:rPr>
              <w:t>沿线波型梁</w:t>
            </w:r>
            <w:proofErr w:type="gramEnd"/>
            <w:r w:rsidRPr="001C34B2">
              <w:rPr>
                <w:rFonts w:ascii="仿宋_GB2312" w:eastAsia="仿宋_GB2312" w:hint="eastAsia"/>
                <w:sz w:val="24"/>
              </w:rPr>
              <w:t>护栏252米，调整禁行区域，规划危险化学品车辆绕行路线，进一步完善禁行管理规定。</w:t>
            </w:r>
          </w:p>
          <w:p w:rsidR="004D16DF" w:rsidRDefault="00B50AC1" w:rsidP="00B50AC1">
            <w:pPr>
              <w:overflowPunct w:val="0"/>
              <w:topLinePunct/>
              <w:spacing w:line="320" w:lineRule="exact"/>
              <w:jc w:val="left"/>
              <w:rPr>
                <w:rFonts w:ascii="仿宋_GB2312" w:eastAsia="仿宋_GB2312"/>
                <w:sz w:val="24"/>
              </w:rPr>
            </w:pPr>
            <w:r w:rsidRPr="001C34B2">
              <w:rPr>
                <w:rFonts w:ascii="仿宋_GB2312" w:eastAsia="仿宋_GB2312" w:hint="eastAsia"/>
                <w:sz w:val="24"/>
              </w:rPr>
              <w:t>省政府已批复徐家坡水源地保护区划分方案，大石盘水源地已撤销。</w:t>
            </w:r>
          </w:p>
          <w:p w:rsidR="00B50AC1" w:rsidRPr="00B64290" w:rsidRDefault="00B50AC1" w:rsidP="00B50AC1">
            <w:pPr>
              <w:overflowPunct w:val="0"/>
              <w:topLinePunct/>
              <w:spacing w:line="320" w:lineRule="exact"/>
              <w:ind w:firstLineChars="100" w:firstLine="240"/>
              <w:jc w:val="left"/>
              <w:rPr>
                <w:rFonts w:eastAsia="楷体_GB2312"/>
                <w:kern w:val="0"/>
                <w:sz w:val="36"/>
                <w:szCs w:val="36"/>
              </w:rPr>
            </w:pPr>
            <w:r w:rsidRPr="00B50AC1">
              <w:rPr>
                <w:rFonts w:ascii="仿宋_GB2312" w:eastAsia="仿宋_GB2312" w:hint="eastAsia"/>
                <w:sz w:val="24"/>
              </w:rPr>
              <w:t>经过专项整治，我市7个县级地表水集中式饮用水水源地规范化建设已完成，一级保护区新增隔离网7900米，新建规范化标识标牌55处、宣传警示牌96块，水源地水质达标率100％，有效保障了群众饮水安全。</w:t>
            </w:r>
          </w:p>
        </w:tc>
      </w:tr>
    </w:tbl>
    <w:p w:rsidR="004F7795" w:rsidRPr="00616BE3" w:rsidRDefault="004F7795" w:rsidP="004F7795">
      <w:pPr>
        <w:spacing w:line="600" w:lineRule="exact"/>
        <w:rPr>
          <w:rFonts w:ascii="仿宋_GB2312" w:eastAsia="仿宋_GB2312"/>
          <w:sz w:val="32"/>
          <w:szCs w:val="30"/>
        </w:rPr>
      </w:pPr>
    </w:p>
    <w:sectPr w:rsidR="004F7795" w:rsidRPr="00616BE3" w:rsidSect="007F14A5">
      <w:footerReference w:type="even" r:id="rId8"/>
      <w:footerReference w:type="default" r:id="rId9"/>
      <w:pgSz w:w="11906" w:h="16838" w:code="9"/>
      <w:pgMar w:top="2098" w:right="1588" w:bottom="1247" w:left="1588" w:header="851" w:footer="992" w:gutter="0"/>
      <w:cols w:space="425"/>
      <w:titlePg/>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1B54" w:rsidRDefault="006F1B54" w:rsidP="003350EF">
      <w:r>
        <w:separator/>
      </w:r>
    </w:p>
  </w:endnote>
  <w:endnote w:type="continuationSeparator" w:id="0">
    <w:p w:rsidR="006F1B54" w:rsidRDefault="006F1B54" w:rsidP="00335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auto"/>
    <w:pitch w:val="variable"/>
    <w:sig w:usb0="00000001" w:usb1="080E0000" w:usb2="00000010" w:usb3="00000000" w:csb0="00040000" w:csb1="00000000"/>
  </w:font>
  <w:font w:name="楷体_GB2312">
    <w:altName w:val="Arial Unicode MS"/>
    <w:charset w:val="86"/>
    <w:family w:val="modern"/>
    <w:pitch w:val="fixed"/>
    <w:sig w:usb0="00000000"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方正仿宋简体">
    <w:panose1 w:val="03000509000000000000"/>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303" w:rsidRPr="006D5303" w:rsidRDefault="006F1B54" w:rsidP="007F14A5">
    <w:pPr>
      <w:pStyle w:val="a4"/>
      <w:ind w:leftChars="100" w:left="2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303" w:rsidRPr="007F14A5" w:rsidRDefault="006F1B54" w:rsidP="007F14A5">
    <w:pPr>
      <w:pStyle w:val="a4"/>
      <w:ind w:rightChars="100" w:right="21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1B54" w:rsidRDefault="006F1B54" w:rsidP="003350EF">
      <w:r>
        <w:separator/>
      </w:r>
    </w:p>
  </w:footnote>
  <w:footnote w:type="continuationSeparator" w:id="0">
    <w:p w:rsidR="006F1B54" w:rsidRDefault="006F1B54" w:rsidP="003350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C434F4"/>
    <w:multiLevelType w:val="hybridMultilevel"/>
    <w:tmpl w:val="F0884DB4"/>
    <w:lvl w:ilvl="0" w:tplc="20DE4D1E">
      <w:start w:val="1"/>
      <w:numFmt w:val="decimal"/>
      <w:lvlText w:val="%1."/>
      <w:lvlJc w:val="left"/>
      <w:pPr>
        <w:ind w:left="375" w:hanging="37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6DFC"/>
    <w:rsid w:val="000005B0"/>
    <w:rsid w:val="00000712"/>
    <w:rsid w:val="00001F01"/>
    <w:rsid w:val="000C4882"/>
    <w:rsid w:val="00106035"/>
    <w:rsid w:val="0012669C"/>
    <w:rsid w:val="00133A8F"/>
    <w:rsid w:val="00170E9E"/>
    <w:rsid w:val="00170ED8"/>
    <w:rsid w:val="00191280"/>
    <w:rsid w:val="001C34B2"/>
    <w:rsid w:val="002601C4"/>
    <w:rsid w:val="0026183C"/>
    <w:rsid w:val="002E6BF4"/>
    <w:rsid w:val="00301E11"/>
    <w:rsid w:val="00312A89"/>
    <w:rsid w:val="00312F68"/>
    <w:rsid w:val="003350EF"/>
    <w:rsid w:val="003D33F7"/>
    <w:rsid w:val="003D5B03"/>
    <w:rsid w:val="003F2672"/>
    <w:rsid w:val="004326E6"/>
    <w:rsid w:val="004576DF"/>
    <w:rsid w:val="004D16DF"/>
    <w:rsid w:val="004E5BD8"/>
    <w:rsid w:val="004F1307"/>
    <w:rsid w:val="004F7795"/>
    <w:rsid w:val="00511AEF"/>
    <w:rsid w:val="00577A78"/>
    <w:rsid w:val="00583C5F"/>
    <w:rsid w:val="005F09D2"/>
    <w:rsid w:val="00616BE3"/>
    <w:rsid w:val="006205BE"/>
    <w:rsid w:val="006213B3"/>
    <w:rsid w:val="00680EB0"/>
    <w:rsid w:val="006850D6"/>
    <w:rsid w:val="006E6B6D"/>
    <w:rsid w:val="006F1B54"/>
    <w:rsid w:val="007067B7"/>
    <w:rsid w:val="007225E3"/>
    <w:rsid w:val="007716A6"/>
    <w:rsid w:val="00774447"/>
    <w:rsid w:val="007D4CC3"/>
    <w:rsid w:val="007F14A5"/>
    <w:rsid w:val="0080487E"/>
    <w:rsid w:val="00841B6A"/>
    <w:rsid w:val="00846F91"/>
    <w:rsid w:val="00884F2A"/>
    <w:rsid w:val="00891203"/>
    <w:rsid w:val="008B1DDF"/>
    <w:rsid w:val="008C191A"/>
    <w:rsid w:val="008C4170"/>
    <w:rsid w:val="008D3DD1"/>
    <w:rsid w:val="00976C24"/>
    <w:rsid w:val="009821B8"/>
    <w:rsid w:val="00993CF4"/>
    <w:rsid w:val="009A19A9"/>
    <w:rsid w:val="009A2213"/>
    <w:rsid w:val="009A6AF4"/>
    <w:rsid w:val="009B2652"/>
    <w:rsid w:val="00A23293"/>
    <w:rsid w:val="00A45D01"/>
    <w:rsid w:val="00AA5F58"/>
    <w:rsid w:val="00AD67AE"/>
    <w:rsid w:val="00AE1A41"/>
    <w:rsid w:val="00B4442B"/>
    <w:rsid w:val="00B50AC1"/>
    <w:rsid w:val="00BC3CFF"/>
    <w:rsid w:val="00C25AE0"/>
    <w:rsid w:val="00C50DDF"/>
    <w:rsid w:val="00CB21C8"/>
    <w:rsid w:val="00CC026C"/>
    <w:rsid w:val="00CE71A5"/>
    <w:rsid w:val="00D07BB3"/>
    <w:rsid w:val="00D133F9"/>
    <w:rsid w:val="00D404C1"/>
    <w:rsid w:val="00D60F13"/>
    <w:rsid w:val="00D83DFE"/>
    <w:rsid w:val="00DA7B59"/>
    <w:rsid w:val="00DC0BAA"/>
    <w:rsid w:val="00DD478E"/>
    <w:rsid w:val="00E65E79"/>
    <w:rsid w:val="00E66DFC"/>
    <w:rsid w:val="00ED2ECE"/>
    <w:rsid w:val="00EE5D49"/>
    <w:rsid w:val="00EF1F26"/>
    <w:rsid w:val="00EF20E8"/>
    <w:rsid w:val="00F31CF3"/>
    <w:rsid w:val="00F72D3D"/>
    <w:rsid w:val="00FA25F4"/>
    <w:rsid w:val="00FC0E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50EF"/>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350E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3350EF"/>
    <w:rPr>
      <w:sz w:val="18"/>
      <w:szCs w:val="18"/>
    </w:rPr>
  </w:style>
  <w:style w:type="paragraph" w:styleId="a4">
    <w:name w:val="footer"/>
    <w:basedOn w:val="a"/>
    <w:link w:val="Char0"/>
    <w:uiPriority w:val="99"/>
    <w:unhideWhenUsed/>
    <w:rsid w:val="003350EF"/>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3350EF"/>
    <w:rPr>
      <w:sz w:val="18"/>
      <w:szCs w:val="18"/>
    </w:rPr>
  </w:style>
  <w:style w:type="paragraph" w:styleId="a5">
    <w:name w:val="Balloon Text"/>
    <w:basedOn w:val="a"/>
    <w:link w:val="Char1"/>
    <w:uiPriority w:val="99"/>
    <w:semiHidden/>
    <w:unhideWhenUsed/>
    <w:rsid w:val="00DC0BAA"/>
    <w:rPr>
      <w:sz w:val="18"/>
      <w:szCs w:val="18"/>
    </w:rPr>
  </w:style>
  <w:style w:type="character" w:customStyle="1" w:styleId="Char1">
    <w:name w:val="批注框文本 Char"/>
    <w:basedOn w:val="a0"/>
    <w:link w:val="a5"/>
    <w:uiPriority w:val="99"/>
    <w:semiHidden/>
    <w:rsid w:val="00DC0BAA"/>
    <w:rPr>
      <w:rFonts w:ascii="Times New Roman" w:eastAsia="宋体" w:hAnsi="Times New Roman" w:cs="Times New Roman"/>
      <w:sz w:val="18"/>
      <w:szCs w:val="18"/>
    </w:rPr>
  </w:style>
  <w:style w:type="paragraph" w:styleId="a6">
    <w:name w:val="List Paragraph"/>
    <w:basedOn w:val="a"/>
    <w:uiPriority w:val="34"/>
    <w:qFormat/>
    <w:rsid w:val="00CB21C8"/>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50EF"/>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350E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3350EF"/>
    <w:rPr>
      <w:sz w:val="18"/>
      <w:szCs w:val="18"/>
    </w:rPr>
  </w:style>
  <w:style w:type="paragraph" w:styleId="a4">
    <w:name w:val="footer"/>
    <w:basedOn w:val="a"/>
    <w:link w:val="Char0"/>
    <w:uiPriority w:val="99"/>
    <w:unhideWhenUsed/>
    <w:rsid w:val="003350EF"/>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3350EF"/>
    <w:rPr>
      <w:sz w:val="18"/>
      <w:szCs w:val="18"/>
    </w:rPr>
  </w:style>
  <w:style w:type="paragraph" w:styleId="a5">
    <w:name w:val="Balloon Text"/>
    <w:basedOn w:val="a"/>
    <w:link w:val="Char1"/>
    <w:uiPriority w:val="99"/>
    <w:semiHidden/>
    <w:unhideWhenUsed/>
    <w:rsid w:val="00DC0BAA"/>
    <w:rPr>
      <w:sz w:val="18"/>
      <w:szCs w:val="18"/>
    </w:rPr>
  </w:style>
  <w:style w:type="character" w:customStyle="1" w:styleId="Char1">
    <w:name w:val="批注框文本 Char"/>
    <w:basedOn w:val="a0"/>
    <w:link w:val="a5"/>
    <w:uiPriority w:val="99"/>
    <w:semiHidden/>
    <w:rsid w:val="00DC0BAA"/>
    <w:rPr>
      <w:rFonts w:ascii="Times New Roman" w:eastAsia="宋体" w:hAnsi="Times New Roman" w:cs="Times New Roman"/>
      <w:sz w:val="18"/>
      <w:szCs w:val="18"/>
    </w:rPr>
  </w:style>
  <w:style w:type="paragraph" w:styleId="a6">
    <w:name w:val="List Paragraph"/>
    <w:basedOn w:val="a"/>
    <w:uiPriority w:val="34"/>
    <w:qFormat/>
    <w:rsid w:val="00CB21C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04758">
      <w:bodyDiv w:val="1"/>
      <w:marLeft w:val="0"/>
      <w:marRight w:val="0"/>
      <w:marTop w:val="0"/>
      <w:marBottom w:val="0"/>
      <w:divBdr>
        <w:top w:val="none" w:sz="0" w:space="0" w:color="auto"/>
        <w:left w:val="none" w:sz="0" w:space="0" w:color="auto"/>
        <w:bottom w:val="none" w:sz="0" w:space="0" w:color="auto"/>
        <w:right w:val="none" w:sz="0" w:space="0" w:color="auto"/>
      </w:divBdr>
    </w:div>
    <w:div w:id="27265600">
      <w:bodyDiv w:val="1"/>
      <w:marLeft w:val="0"/>
      <w:marRight w:val="0"/>
      <w:marTop w:val="0"/>
      <w:marBottom w:val="0"/>
      <w:divBdr>
        <w:top w:val="none" w:sz="0" w:space="0" w:color="auto"/>
        <w:left w:val="none" w:sz="0" w:space="0" w:color="auto"/>
        <w:bottom w:val="none" w:sz="0" w:space="0" w:color="auto"/>
        <w:right w:val="none" w:sz="0" w:space="0" w:color="auto"/>
      </w:divBdr>
    </w:div>
    <w:div w:id="29845597">
      <w:bodyDiv w:val="1"/>
      <w:marLeft w:val="0"/>
      <w:marRight w:val="0"/>
      <w:marTop w:val="0"/>
      <w:marBottom w:val="0"/>
      <w:divBdr>
        <w:top w:val="none" w:sz="0" w:space="0" w:color="auto"/>
        <w:left w:val="none" w:sz="0" w:space="0" w:color="auto"/>
        <w:bottom w:val="none" w:sz="0" w:space="0" w:color="auto"/>
        <w:right w:val="none" w:sz="0" w:space="0" w:color="auto"/>
      </w:divBdr>
    </w:div>
    <w:div w:id="161967249">
      <w:bodyDiv w:val="1"/>
      <w:marLeft w:val="0"/>
      <w:marRight w:val="0"/>
      <w:marTop w:val="0"/>
      <w:marBottom w:val="0"/>
      <w:divBdr>
        <w:top w:val="none" w:sz="0" w:space="0" w:color="auto"/>
        <w:left w:val="none" w:sz="0" w:space="0" w:color="auto"/>
        <w:bottom w:val="none" w:sz="0" w:space="0" w:color="auto"/>
        <w:right w:val="none" w:sz="0" w:space="0" w:color="auto"/>
      </w:divBdr>
    </w:div>
    <w:div w:id="220874907">
      <w:bodyDiv w:val="1"/>
      <w:marLeft w:val="0"/>
      <w:marRight w:val="0"/>
      <w:marTop w:val="0"/>
      <w:marBottom w:val="0"/>
      <w:divBdr>
        <w:top w:val="none" w:sz="0" w:space="0" w:color="auto"/>
        <w:left w:val="none" w:sz="0" w:space="0" w:color="auto"/>
        <w:bottom w:val="none" w:sz="0" w:space="0" w:color="auto"/>
        <w:right w:val="none" w:sz="0" w:space="0" w:color="auto"/>
      </w:divBdr>
    </w:div>
    <w:div w:id="236867439">
      <w:bodyDiv w:val="1"/>
      <w:marLeft w:val="0"/>
      <w:marRight w:val="0"/>
      <w:marTop w:val="0"/>
      <w:marBottom w:val="0"/>
      <w:divBdr>
        <w:top w:val="none" w:sz="0" w:space="0" w:color="auto"/>
        <w:left w:val="none" w:sz="0" w:space="0" w:color="auto"/>
        <w:bottom w:val="none" w:sz="0" w:space="0" w:color="auto"/>
        <w:right w:val="none" w:sz="0" w:space="0" w:color="auto"/>
      </w:divBdr>
    </w:div>
    <w:div w:id="331564935">
      <w:bodyDiv w:val="1"/>
      <w:marLeft w:val="0"/>
      <w:marRight w:val="0"/>
      <w:marTop w:val="0"/>
      <w:marBottom w:val="0"/>
      <w:divBdr>
        <w:top w:val="none" w:sz="0" w:space="0" w:color="auto"/>
        <w:left w:val="none" w:sz="0" w:space="0" w:color="auto"/>
        <w:bottom w:val="none" w:sz="0" w:space="0" w:color="auto"/>
        <w:right w:val="none" w:sz="0" w:space="0" w:color="auto"/>
      </w:divBdr>
    </w:div>
    <w:div w:id="443696263">
      <w:bodyDiv w:val="1"/>
      <w:marLeft w:val="0"/>
      <w:marRight w:val="0"/>
      <w:marTop w:val="0"/>
      <w:marBottom w:val="0"/>
      <w:divBdr>
        <w:top w:val="none" w:sz="0" w:space="0" w:color="auto"/>
        <w:left w:val="none" w:sz="0" w:space="0" w:color="auto"/>
        <w:bottom w:val="none" w:sz="0" w:space="0" w:color="auto"/>
        <w:right w:val="none" w:sz="0" w:space="0" w:color="auto"/>
      </w:divBdr>
    </w:div>
    <w:div w:id="614097357">
      <w:bodyDiv w:val="1"/>
      <w:marLeft w:val="0"/>
      <w:marRight w:val="0"/>
      <w:marTop w:val="0"/>
      <w:marBottom w:val="0"/>
      <w:divBdr>
        <w:top w:val="none" w:sz="0" w:space="0" w:color="auto"/>
        <w:left w:val="none" w:sz="0" w:space="0" w:color="auto"/>
        <w:bottom w:val="none" w:sz="0" w:space="0" w:color="auto"/>
        <w:right w:val="none" w:sz="0" w:space="0" w:color="auto"/>
      </w:divBdr>
    </w:div>
    <w:div w:id="615797991">
      <w:bodyDiv w:val="1"/>
      <w:marLeft w:val="0"/>
      <w:marRight w:val="0"/>
      <w:marTop w:val="0"/>
      <w:marBottom w:val="0"/>
      <w:divBdr>
        <w:top w:val="none" w:sz="0" w:space="0" w:color="auto"/>
        <w:left w:val="none" w:sz="0" w:space="0" w:color="auto"/>
        <w:bottom w:val="none" w:sz="0" w:space="0" w:color="auto"/>
        <w:right w:val="none" w:sz="0" w:space="0" w:color="auto"/>
      </w:divBdr>
    </w:div>
    <w:div w:id="932976155">
      <w:bodyDiv w:val="1"/>
      <w:marLeft w:val="0"/>
      <w:marRight w:val="0"/>
      <w:marTop w:val="0"/>
      <w:marBottom w:val="0"/>
      <w:divBdr>
        <w:top w:val="none" w:sz="0" w:space="0" w:color="auto"/>
        <w:left w:val="none" w:sz="0" w:space="0" w:color="auto"/>
        <w:bottom w:val="none" w:sz="0" w:space="0" w:color="auto"/>
        <w:right w:val="none" w:sz="0" w:space="0" w:color="auto"/>
      </w:divBdr>
    </w:div>
    <w:div w:id="1195926739">
      <w:bodyDiv w:val="1"/>
      <w:marLeft w:val="0"/>
      <w:marRight w:val="0"/>
      <w:marTop w:val="0"/>
      <w:marBottom w:val="0"/>
      <w:divBdr>
        <w:top w:val="none" w:sz="0" w:space="0" w:color="auto"/>
        <w:left w:val="none" w:sz="0" w:space="0" w:color="auto"/>
        <w:bottom w:val="none" w:sz="0" w:space="0" w:color="auto"/>
        <w:right w:val="none" w:sz="0" w:space="0" w:color="auto"/>
      </w:divBdr>
    </w:div>
    <w:div w:id="1211499761">
      <w:bodyDiv w:val="1"/>
      <w:marLeft w:val="0"/>
      <w:marRight w:val="0"/>
      <w:marTop w:val="0"/>
      <w:marBottom w:val="0"/>
      <w:divBdr>
        <w:top w:val="none" w:sz="0" w:space="0" w:color="auto"/>
        <w:left w:val="none" w:sz="0" w:space="0" w:color="auto"/>
        <w:bottom w:val="none" w:sz="0" w:space="0" w:color="auto"/>
        <w:right w:val="none" w:sz="0" w:space="0" w:color="auto"/>
      </w:divBdr>
    </w:div>
    <w:div w:id="1255630720">
      <w:bodyDiv w:val="1"/>
      <w:marLeft w:val="0"/>
      <w:marRight w:val="0"/>
      <w:marTop w:val="0"/>
      <w:marBottom w:val="0"/>
      <w:divBdr>
        <w:top w:val="none" w:sz="0" w:space="0" w:color="auto"/>
        <w:left w:val="none" w:sz="0" w:space="0" w:color="auto"/>
        <w:bottom w:val="none" w:sz="0" w:space="0" w:color="auto"/>
        <w:right w:val="none" w:sz="0" w:space="0" w:color="auto"/>
      </w:divBdr>
    </w:div>
    <w:div w:id="1640383276">
      <w:bodyDiv w:val="1"/>
      <w:marLeft w:val="0"/>
      <w:marRight w:val="0"/>
      <w:marTop w:val="0"/>
      <w:marBottom w:val="0"/>
      <w:divBdr>
        <w:top w:val="none" w:sz="0" w:space="0" w:color="auto"/>
        <w:left w:val="none" w:sz="0" w:space="0" w:color="auto"/>
        <w:bottom w:val="none" w:sz="0" w:space="0" w:color="auto"/>
        <w:right w:val="none" w:sz="0" w:space="0" w:color="auto"/>
      </w:divBdr>
    </w:div>
    <w:div w:id="1691830691">
      <w:bodyDiv w:val="1"/>
      <w:marLeft w:val="0"/>
      <w:marRight w:val="0"/>
      <w:marTop w:val="0"/>
      <w:marBottom w:val="0"/>
      <w:divBdr>
        <w:top w:val="none" w:sz="0" w:space="0" w:color="auto"/>
        <w:left w:val="none" w:sz="0" w:space="0" w:color="auto"/>
        <w:bottom w:val="none" w:sz="0" w:space="0" w:color="auto"/>
        <w:right w:val="none" w:sz="0" w:space="0" w:color="auto"/>
      </w:divBdr>
    </w:div>
    <w:div w:id="1709335351">
      <w:bodyDiv w:val="1"/>
      <w:marLeft w:val="0"/>
      <w:marRight w:val="0"/>
      <w:marTop w:val="0"/>
      <w:marBottom w:val="0"/>
      <w:divBdr>
        <w:top w:val="none" w:sz="0" w:space="0" w:color="auto"/>
        <w:left w:val="none" w:sz="0" w:space="0" w:color="auto"/>
        <w:bottom w:val="none" w:sz="0" w:space="0" w:color="auto"/>
        <w:right w:val="none" w:sz="0" w:space="0" w:color="auto"/>
      </w:divBdr>
    </w:div>
    <w:div w:id="1746875612">
      <w:bodyDiv w:val="1"/>
      <w:marLeft w:val="0"/>
      <w:marRight w:val="0"/>
      <w:marTop w:val="0"/>
      <w:marBottom w:val="0"/>
      <w:divBdr>
        <w:top w:val="none" w:sz="0" w:space="0" w:color="auto"/>
        <w:left w:val="none" w:sz="0" w:space="0" w:color="auto"/>
        <w:bottom w:val="none" w:sz="0" w:space="0" w:color="auto"/>
        <w:right w:val="none" w:sz="0" w:space="0" w:color="auto"/>
      </w:divBdr>
    </w:div>
    <w:div w:id="1846936515">
      <w:bodyDiv w:val="1"/>
      <w:marLeft w:val="0"/>
      <w:marRight w:val="0"/>
      <w:marTop w:val="0"/>
      <w:marBottom w:val="0"/>
      <w:divBdr>
        <w:top w:val="none" w:sz="0" w:space="0" w:color="auto"/>
        <w:left w:val="none" w:sz="0" w:space="0" w:color="auto"/>
        <w:bottom w:val="none" w:sz="0" w:space="0" w:color="auto"/>
        <w:right w:val="none" w:sz="0" w:space="0" w:color="auto"/>
      </w:divBdr>
    </w:div>
    <w:div w:id="1925608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239</Words>
  <Characters>1366</Characters>
  <Application>Microsoft Office Word</Application>
  <DocSecurity>0</DocSecurity>
  <Lines>11</Lines>
  <Paragraphs>3</Paragraphs>
  <ScaleCrop>false</ScaleCrop>
  <Company>P R C</Company>
  <LinksUpToDate>false</LinksUpToDate>
  <CharactersWithSpaces>1602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甘晓英</dc:creator>
  <cp:lastModifiedBy>耿向永</cp:lastModifiedBy>
  <cp:revision>2</cp:revision>
  <cp:lastPrinted>2019-01-11T05:47:00Z</cp:lastPrinted>
  <dcterms:created xsi:type="dcterms:W3CDTF">2019-02-12T06:01:00Z</dcterms:created>
  <dcterms:modified xsi:type="dcterms:W3CDTF">2019-02-12T06:01:00Z</dcterms:modified>
</cp:coreProperties>
</file>